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700" w:lineRule="exact"/>
        <w:ind w:left="0" w:right="0"/>
        <w:jc w:val="both"/>
        <w:textAlignment w:val="auto"/>
        <w:rPr>
          <w:rFonts w:hint="eastAsia" w:ascii="仿宋_GB2312" w:hAnsi="仿宋_GB2312" w:eastAsia="仿宋_GB2312" w:cs="仿宋_GB2312"/>
          <w:b/>
          <w:color w:val="auto"/>
          <w:kern w:val="0"/>
          <w:sz w:val="32"/>
          <w:szCs w:val="32"/>
          <w:shd w:val="clear" w:color="auto" w:fill="FFFFFF"/>
          <w:lang w:val="en-US" w:eastAsia="zh-CN" w:bidi="ar"/>
        </w:rPr>
      </w:pPr>
      <w:r>
        <w:rPr>
          <w:sz w:val="32"/>
        </w:rPr>
        <mc:AlternateContent>
          <mc:Choice Requires="wps">
            <w:drawing>
              <wp:anchor distT="0" distB="0" distL="114300" distR="114300" simplePos="0" relativeHeight="251779072" behindDoc="0" locked="0" layoutInCell="1" allowOverlap="1">
                <wp:simplePos x="0" y="0"/>
                <wp:positionH relativeFrom="column">
                  <wp:posOffset>4239260</wp:posOffset>
                </wp:positionH>
                <wp:positionV relativeFrom="paragraph">
                  <wp:posOffset>-214630</wp:posOffset>
                </wp:positionV>
                <wp:extent cx="1000760" cy="371475"/>
                <wp:effectExtent l="4445" t="5080" r="23495" b="4445"/>
                <wp:wrapNone/>
                <wp:docPr id="2" name="文本框 2"/>
                <wp:cNvGraphicFramePr/>
                <a:graphic xmlns:a="http://schemas.openxmlformats.org/drawingml/2006/main">
                  <a:graphicData uri="http://schemas.microsoft.com/office/word/2010/wordprocessingShape">
                    <wps:wsp>
                      <wps:cNvSpPr txBox="1"/>
                      <wps:spPr>
                        <a:xfrm>
                          <a:off x="0" y="0"/>
                          <a:ext cx="1000760"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材料之四</w:t>
                            </w:r>
                          </w:p>
                        </w:txbxContent>
                      </wps:txbx>
                      <wps:bodyPr upright="1"/>
                    </wps:wsp>
                  </a:graphicData>
                </a:graphic>
              </wp:anchor>
            </w:drawing>
          </mc:Choice>
          <mc:Fallback>
            <w:pict>
              <v:shape id="_x0000_s1026" o:spid="_x0000_s1026" o:spt="202" type="#_x0000_t202" style="position:absolute;left:0pt;margin-left:333.8pt;margin-top:-16.9pt;height:29.25pt;width:78.8pt;z-index:251779072;mso-width-relative:page;mso-height-relative:page;" fillcolor="#FFFFFF" filled="t" stroked="t" coordsize="21600,21600" o:gfxdata="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mLLK2gAAAAoBAAAPAAAAAAAAAAEAIAAAACIAAABkcnMvZG93bnJldi54bWxQSwECFAAU&#10;AAAACACHTuJAHyyrfO8BAADoAwAADgAAAAAAAAABACAAAAApAQAAZHJzL2Uyb0RvYy54bWxQSwUG&#10;AAAAAAYABgBZAQAAi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_GB2312" w:hAnsi="楷体_GB2312" w:eastAsia="楷体_GB2312" w:cs="楷体_GB2312"/>
                          <w:b/>
                          <w:bCs/>
                          <w:sz w:val="28"/>
                          <w:szCs w:val="28"/>
                          <w:lang w:eastAsia="zh-CN"/>
                        </w:rPr>
                      </w:pPr>
                      <w:r>
                        <w:rPr>
                          <w:rFonts w:hint="eastAsia" w:ascii="楷体_GB2312" w:hAnsi="楷体_GB2312" w:eastAsia="楷体_GB2312" w:cs="楷体_GB2312"/>
                          <w:b/>
                          <w:bCs/>
                          <w:sz w:val="28"/>
                          <w:szCs w:val="28"/>
                          <w:lang w:eastAsia="zh-CN"/>
                        </w:rPr>
                        <w:t>材料之四</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1000" w:lineRule="exact"/>
        <w:ind w:left="0" w:leftChars="0" w:firstLine="4215" w:firstLineChars="1312"/>
        <w:jc w:val="left"/>
        <w:textAlignment w:val="auto"/>
        <w:rPr>
          <w:rFonts w:eastAsia="楷体_GB2312"/>
        </w:rPr>
      </w:pPr>
      <w:r>
        <w:rPr>
          <w:rFonts w:hint="eastAsia" w:ascii="仿宋_GB2312" w:hAnsi="仿宋_GB2312" w:eastAsia="仿宋_GB2312" w:cs="仿宋_GB2312"/>
          <w:b/>
          <w:color w:val="auto"/>
          <w:kern w:val="0"/>
          <w:sz w:val="32"/>
          <w:szCs w:val="32"/>
          <w:shd w:val="clear" w:color="auto" w:fill="FFFFFF"/>
          <w:lang w:val="en-US" w:eastAsia="zh-CN" w:bidi="ar"/>
        </w:rPr>
        <w:drawing>
          <wp:anchor distT="0" distB="0" distL="114300" distR="114300" simplePos="0" relativeHeight="251776000" behindDoc="1" locked="0" layoutInCell="1" allowOverlap="1">
            <wp:simplePos x="0" y="0"/>
            <wp:positionH relativeFrom="column">
              <wp:posOffset>111125</wp:posOffset>
            </wp:positionH>
            <wp:positionV relativeFrom="paragraph">
              <wp:posOffset>101600</wp:posOffset>
            </wp:positionV>
            <wp:extent cx="2470785" cy="567055"/>
            <wp:effectExtent l="0" t="0" r="5715" b="4445"/>
            <wp:wrapThrough wrapText="bothSides">
              <wp:wrapPolygon>
                <wp:start x="0" y="0"/>
                <wp:lineTo x="0" y="21044"/>
                <wp:lineTo x="21483" y="21044"/>
                <wp:lineTo x="21483" y="0"/>
                <wp:lineTo x="0" y="0"/>
              </wp:wrapPolygon>
            </wp:wrapThrough>
            <wp:docPr id="1" name="图片 2" descr="黄冈师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黄冈师范logo"/>
                    <pic:cNvPicPr>
                      <a:picLocks noChangeAspect="1"/>
                    </pic:cNvPicPr>
                  </pic:nvPicPr>
                  <pic:blipFill>
                    <a:blip r:embed="rId5"/>
                    <a:stretch>
                      <a:fillRect/>
                    </a:stretch>
                  </pic:blipFill>
                  <pic:spPr>
                    <a:xfrm>
                      <a:off x="0" y="0"/>
                      <a:ext cx="2470785" cy="567055"/>
                    </a:xfrm>
                    <a:prstGeom prst="rect">
                      <a:avLst/>
                    </a:prstGeom>
                    <a:noFill/>
                    <a:ln>
                      <a:noFill/>
                    </a:ln>
                  </pic:spPr>
                </pic:pic>
              </a:graphicData>
            </a:graphic>
          </wp:anchor>
        </w:drawing>
      </w:r>
      <w:r>
        <w:rPr>
          <w:rFonts w:hint="eastAsia" w:ascii="华文行楷" w:hAnsi="华文行楷" w:eastAsia="华文行楷" w:cs="华文行楷"/>
          <w:b w:val="0"/>
          <w:bCs/>
          <w:color w:val="000000"/>
          <w:kern w:val="0"/>
          <w:sz w:val="72"/>
          <w:szCs w:val="72"/>
          <w:lang w:val="en-US" w:eastAsia="zh-CN" w:bidi="ar"/>
        </w:rPr>
        <w:t>商学院</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500" w:lineRule="exact"/>
        <w:ind w:left="0" w:right="0"/>
        <w:jc w:val="both"/>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方正小标宋简体" w:hAnsi="方正小标宋简体" w:eastAsia="方正小标宋简体" w:cs="方正小标宋简体"/>
          <w:b/>
          <w:bCs w:val="0"/>
          <w:color w:val="000000"/>
          <w:spacing w:val="20"/>
          <w:w w:val="91"/>
          <w:kern w:val="0"/>
          <w:sz w:val="54"/>
          <w:szCs w:val="54"/>
          <w:lang w:val="en-US" w:eastAsia="zh-CN" w:bidi="ar"/>
        </w:rPr>
      </w:pPr>
      <w:r>
        <w:rPr>
          <w:rFonts w:hint="eastAsia" w:ascii="方正小标宋简体" w:hAnsi="方正小标宋简体" w:eastAsia="方正小标宋简体" w:cs="方正小标宋简体"/>
          <w:b/>
          <w:bCs w:val="0"/>
          <w:color w:val="000000"/>
          <w:spacing w:val="20"/>
          <w:w w:val="91"/>
          <w:kern w:val="0"/>
          <w:sz w:val="54"/>
          <w:szCs w:val="54"/>
          <w:lang w:val="en-US" w:eastAsia="zh-CN" w:bidi="ar"/>
        </w:rPr>
        <w:t>“不忘初心、牢记使命”主题教育</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仿宋_GB2312" w:hAnsi="仿宋_GB2312" w:eastAsia="仿宋_GB2312" w:cs="仿宋_GB2312"/>
          <w:b/>
          <w:color w:val="auto"/>
          <w:w w:val="95"/>
          <w:kern w:val="0"/>
          <w:sz w:val="32"/>
          <w:szCs w:val="32"/>
          <w:shd w:val="clear" w:color="auto"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隶书" w:hAnsi="隶书" w:eastAsia="隶书" w:cs="隶书"/>
          <w:color w:val="000000"/>
          <w:kern w:val="0"/>
          <w:sz w:val="90"/>
          <w:szCs w:val="90"/>
          <w:lang w:val="en-US" w:eastAsia="zh-CN" w:bidi="ar"/>
        </w:rPr>
      </w:pPr>
      <w:r>
        <w:rPr>
          <w:rFonts w:hint="eastAsia" w:ascii="隶书" w:hAnsi="隶书" w:eastAsia="隶书" w:cs="隶书"/>
          <w:color w:val="000000"/>
          <w:kern w:val="0"/>
          <w:sz w:val="90"/>
          <w:szCs w:val="90"/>
          <w:lang w:val="en-US" w:eastAsia="zh-CN" w:bidi="ar"/>
        </w:rPr>
        <w:t>讲</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隶书" w:hAnsi="隶书" w:eastAsia="隶书" w:cs="隶书"/>
          <w:color w:val="000000"/>
          <w:kern w:val="0"/>
          <w:sz w:val="90"/>
          <w:szCs w:val="90"/>
          <w:lang w:val="en-US" w:eastAsia="zh-CN" w:bidi="ar"/>
        </w:rPr>
      </w:pPr>
      <w:r>
        <w:rPr>
          <w:rFonts w:hint="eastAsia" w:ascii="隶书" w:hAnsi="隶书" w:eastAsia="隶书" w:cs="隶书"/>
          <w:color w:val="000000"/>
          <w:kern w:val="0"/>
          <w:sz w:val="90"/>
          <w:szCs w:val="90"/>
          <w:lang w:val="en-US" w:eastAsia="zh-CN" w:bidi="ar"/>
        </w:rPr>
        <w:t>党</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hint="eastAsia" w:ascii="隶书" w:hAnsi="隶书" w:eastAsia="隶书" w:cs="隶书"/>
          <w:color w:val="000000"/>
          <w:kern w:val="0"/>
          <w:sz w:val="90"/>
          <w:szCs w:val="90"/>
          <w:lang w:val="en-US" w:eastAsia="zh-CN" w:bidi="ar"/>
        </w:rPr>
        <w:t>课</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隶书" w:hAnsi="隶书" w:eastAsia="隶书" w:cs="隶书"/>
          <w:color w:val="000000"/>
          <w:kern w:val="0"/>
          <w:sz w:val="90"/>
          <w:szCs w:val="90"/>
          <w:lang w:val="en-US" w:eastAsia="zh-CN" w:bidi="ar"/>
        </w:rPr>
      </w:pPr>
      <w:r>
        <w:rPr>
          <w:rFonts w:hint="eastAsia" w:ascii="隶书" w:hAnsi="隶书" w:eastAsia="隶书" w:cs="隶书"/>
          <w:color w:val="000000"/>
          <w:kern w:val="0"/>
          <w:sz w:val="90"/>
          <w:szCs w:val="90"/>
          <w:lang w:val="en-US" w:eastAsia="zh-CN" w:bidi="ar"/>
        </w:rPr>
        <w:t>材</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rFonts w:hint="eastAsia" w:ascii="隶书" w:hAnsi="隶书" w:eastAsia="隶书" w:cs="隶书"/>
          <w:color w:val="000000"/>
          <w:kern w:val="0"/>
          <w:sz w:val="90"/>
          <w:szCs w:val="90"/>
          <w:lang w:val="en-US" w:eastAsia="zh-CN" w:bidi="ar"/>
        </w:rPr>
      </w:pPr>
      <w:r>
        <w:rPr>
          <w:rFonts w:hint="eastAsia" w:ascii="隶书" w:hAnsi="隶书" w:eastAsia="隶书" w:cs="隶书"/>
          <w:color w:val="000000"/>
          <w:kern w:val="0"/>
          <w:sz w:val="90"/>
          <w:szCs w:val="90"/>
          <w:lang w:val="en-US" w:eastAsia="zh-CN" w:bidi="ar"/>
        </w:rPr>
        <w:t>料</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汇</w:t>
      </w:r>
    </w:p>
    <w:p>
      <w:pPr>
        <w:keepNext w:val="0"/>
        <w:keepLines w:val="0"/>
        <w:pageBreakBefore w:val="0"/>
        <w:widowControl/>
        <w:suppressLineNumbers w:val="0"/>
        <w:kinsoku/>
        <w:wordWrap/>
        <w:overflowPunct/>
        <w:topLinePunct w:val="0"/>
        <w:autoSpaceDE/>
        <w:autoSpaceDN/>
        <w:bidi w:val="0"/>
        <w:adjustRightInd/>
        <w:snapToGrid/>
        <w:spacing w:line="900" w:lineRule="exact"/>
        <w:jc w:val="center"/>
        <w:textAlignment w:val="auto"/>
        <w:rPr>
          <w:sz w:val="90"/>
          <w:szCs w:val="90"/>
        </w:rPr>
      </w:pPr>
      <w:r>
        <w:rPr>
          <w:rFonts w:ascii="隶书" w:hAnsi="隶书" w:eastAsia="隶书" w:cs="隶书"/>
          <w:color w:val="000000"/>
          <w:kern w:val="0"/>
          <w:sz w:val="90"/>
          <w:szCs w:val="90"/>
          <w:lang w:val="en-US" w:eastAsia="zh-CN" w:bidi="ar"/>
        </w:rPr>
        <w:t>编</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934" w:firstLineChars="300"/>
        <w:jc w:val="left"/>
        <w:textAlignment w:val="auto"/>
        <w:rPr>
          <w:rFonts w:ascii="楷体_GB2312" w:hAnsi="宋体" w:eastAsia="楷体_GB2312" w:cs="楷体_GB2312"/>
          <w:b/>
          <w:color w:val="000000"/>
          <w:kern w:val="0"/>
          <w:sz w:val="31"/>
          <w:szCs w:val="31"/>
          <w:lang w:val="en-US" w:eastAsia="zh-CN" w:bidi="ar"/>
        </w:rPr>
      </w:pPr>
    </w:p>
    <w:p>
      <w:pPr>
        <w:keepNext w:val="0"/>
        <w:keepLines w:val="0"/>
        <w:widowControl/>
        <w:suppressLineNumbers w:val="0"/>
        <w:jc w:val="center"/>
        <w:rPr>
          <w:rFonts w:hint="eastAsia" w:ascii="仿宋_GB2312" w:hAnsi="仿宋_GB2312" w:eastAsia="仿宋_GB2312" w:cs="仿宋_GB2312"/>
          <w:b/>
          <w:color w:val="auto"/>
          <w:kern w:val="0"/>
          <w:sz w:val="36"/>
          <w:szCs w:val="36"/>
          <w:shd w:val="clear" w:color="auto" w:fill="FFFFFF"/>
          <w:lang w:val="en-US" w:eastAsia="zh-CN" w:bidi="ar"/>
        </w:rPr>
      </w:pPr>
      <w:r>
        <w:rPr>
          <w:rFonts w:ascii="楷体_GB2312" w:hAnsi="宋体" w:eastAsia="楷体_GB2312" w:cs="楷体_GB2312"/>
          <w:b/>
          <w:color w:val="000000"/>
          <w:kern w:val="0"/>
          <w:sz w:val="32"/>
          <w:szCs w:val="32"/>
          <w:lang w:val="en-US" w:eastAsia="zh-CN" w:bidi="ar"/>
        </w:rPr>
        <w:t>商学院“不忘初心、牢记使命”主题教育领导小组</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bCs w:val="0"/>
          <w:color w:val="auto"/>
          <w:spacing w:val="20"/>
          <w:kern w:val="0"/>
          <w:sz w:val="36"/>
          <w:szCs w:val="36"/>
          <w:shd w:val="clear" w:color="auto" w:fill="FFFFFF"/>
          <w:lang w:val="en-US" w:eastAsia="zh-CN" w:bidi="ar"/>
        </w:rPr>
      </w:pPr>
      <w:r>
        <w:rPr>
          <w:rFonts w:hint="eastAsia" w:ascii="楷体_GB2312" w:hAnsi="楷体_GB2312" w:eastAsia="楷体_GB2312" w:cs="楷体_GB2312"/>
          <w:b/>
          <w:bCs w:val="0"/>
          <w:color w:val="auto"/>
          <w:spacing w:val="20"/>
          <w:kern w:val="0"/>
          <w:sz w:val="36"/>
          <w:szCs w:val="36"/>
          <w:shd w:val="clear" w:color="auto" w:fill="FFFFFF"/>
          <w:lang w:val="en-US" w:eastAsia="zh-CN" w:bidi="ar"/>
        </w:rPr>
        <w:t>二〇一九年十月十日</w:t>
      </w:r>
    </w:p>
    <w:p>
      <w:pPr>
        <w:keepNext w:val="0"/>
        <w:keepLines w:val="0"/>
        <w:pageBreakBefore w:val="0"/>
        <w:widowControl w:val="0"/>
        <w:kinsoku/>
        <w:overflowPunct/>
        <w:topLinePunct w:val="0"/>
        <w:autoSpaceDE/>
        <w:autoSpaceDN/>
        <w:bidi w:val="0"/>
        <w:adjustRightInd/>
        <w:snapToGrid/>
        <w:textAlignment w:val="auto"/>
        <w:rPr>
          <w:rFonts w:hint="eastAsia" w:ascii="仿宋_GB2312" w:hAnsi="仿宋_GB2312" w:eastAsia="仿宋_GB2312" w:cs="仿宋_GB2312"/>
          <w:b/>
          <w:color w:val="auto"/>
          <w:kern w:val="0"/>
          <w:sz w:val="32"/>
          <w:szCs w:val="32"/>
          <w:shd w:val="clear" w:color="auto" w:fill="FFFFFF"/>
          <w:lang w:val="en-US" w:eastAsia="zh-CN" w:bidi="ar"/>
        </w:rPr>
      </w:pPr>
      <w:r>
        <w:rPr>
          <w:rFonts w:hint="eastAsia" w:ascii="仿宋_GB2312" w:hAnsi="仿宋_GB2312" w:eastAsia="仿宋_GB2312" w:cs="仿宋_GB2312"/>
          <w:b/>
          <w:color w:val="auto"/>
          <w:kern w:val="0"/>
          <w:sz w:val="32"/>
          <w:szCs w:val="32"/>
          <w:shd w:val="clear" w:color="auto" w:fill="FFFFFF"/>
          <w:lang w:val="en-US" w:eastAsia="zh-CN" w:bidi="ar"/>
        </w:rPr>
        <w:br w:type="page"/>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40" w:lineRule="auto"/>
        <w:ind w:left="0" w:right="0"/>
        <w:jc w:val="center"/>
        <w:textAlignment w:val="auto"/>
        <w:outlineLvl w:val="9"/>
        <w:rPr>
          <w:rFonts w:hint="eastAsia" w:ascii="方正小标宋简体" w:hAnsi="方正小标宋简体" w:eastAsia="方正小标宋简体" w:cs="方正小标宋简体"/>
          <w:b/>
          <w:color w:val="auto"/>
          <w:kern w:val="0"/>
          <w:sz w:val="44"/>
          <w:szCs w:val="44"/>
          <w:shd w:val="clear" w:color="auto" w:fill="FFFFFF"/>
          <w:lang w:val="en-US" w:eastAsia="zh-CN" w:bidi="ar"/>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40" w:lineRule="auto"/>
        <w:ind w:left="0" w:right="0"/>
        <w:jc w:val="center"/>
        <w:textAlignment w:val="auto"/>
        <w:outlineLvl w:val="9"/>
        <w:rPr>
          <w:rFonts w:hint="eastAsia" w:ascii="方正小标宋简体" w:hAnsi="方正小标宋简体" w:eastAsia="方正小标宋简体" w:cs="方正小标宋简体"/>
          <w:b/>
          <w:color w:val="auto"/>
          <w:kern w:val="0"/>
          <w:sz w:val="44"/>
          <w:szCs w:val="44"/>
          <w:shd w:val="clear" w:color="auto" w:fill="FFFFFF"/>
          <w:lang w:val="en-US" w:eastAsia="zh-CN" w:bidi="ar"/>
        </w:rPr>
      </w:pPr>
      <w:r>
        <w:rPr>
          <w:rFonts w:hint="eastAsia" w:ascii="方正小标宋简体" w:hAnsi="方正小标宋简体" w:eastAsia="方正小标宋简体" w:cs="方正小标宋简体"/>
          <w:b/>
          <w:color w:val="auto"/>
          <w:kern w:val="0"/>
          <w:sz w:val="44"/>
          <w:szCs w:val="44"/>
          <w:shd w:val="clear" w:color="auto" w:fill="FFFFFF"/>
          <w:lang w:val="en-US" w:eastAsia="zh-CN" w:bidi="ar"/>
        </w:rPr>
        <w:t>目   录</w:t>
      </w:r>
      <w:bookmarkStart w:id="0" w:name="_Toc22916"/>
    </w:p>
    <w:bookmarkEnd w:id="0"/>
    <w:p/>
    <w:p/>
    <w:p>
      <w:pPr>
        <w:keepNext w:val="0"/>
        <w:keepLines w:val="0"/>
        <w:pageBreakBefore w:val="0"/>
        <w:widowControl w:val="0"/>
        <w:numPr>
          <w:ilvl w:val="0"/>
          <w:numId w:val="1"/>
        </w:numPr>
        <w:kinsoku/>
        <w:wordWrap/>
        <w:overflowPunct/>
        <w:topLinePunct w:val="0"/>
        <w:autoSpaceDE/>
        <w:autoSpaceDN/>
        <w:bidi w:val="0"/>
        <w:adjustRightInd/>
        <w:snapToGrid/>
        <w:spacing w:line="900" w:lineRule="exact"/>
        <w:ind w:left="0" w:leftChars="0" w:firstLine="0" w:firstLineChars="0"/>
        <w:jc w:val="distribute"/>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中共商学院党委书记鲍宏礼同志讲党课……………………</w:t>
      </w:r>
      <w:r>
        <w:rPr>
          <w:rFonts w:hint="eastAsia" w:ascii="仿宋_GB2312" w:hAnsi="仿宋_GB2312" w:eastAsia="仿宋_GB2312" w:cs="仿宋_GB2312"/>
          <w:sz w:val="30"/>
          <w:szCs w:val="30"/>
          <w:lang w:val="en-US" w:eastAsia="zh-CN"/>
        </w:rPr>
        <w:t>1</w:t>
      </w:r>
    </w:p>
    <w:p>
      <w:pPr>
        <w:keepNext w:val="0"/>
        <w:keepLines w:val="0"/>
        <w:pageBreakBefore w:val="0"/>
        <w:widowControl w:val="0"/>
        <w:numPr>
          <w:ilvl w:val="0"/>
          <w:numId w:val="1"/>
        </w:numPr>
        <w:kinsoku/>
        <w:wordWrap/>
        <w:overflowPunct/>
        <w:topLinePunct w:val="0"/>
        <w:autoSpaceDE/>
        <w:autoSpaceDN/>
        <w:bidi w:val="0"/>
        <w:adjustRightInd/>
        <w:snapToGrid/>
        <w:spacing w:line="900" w:lineRule="exact"/>
        <w:ind w:left="0" w:leftChars="0" w:firstLine="0" w:firstLineChars="0"/>
        <w:jc w:val="distribute"/>
        <w:textAlignment w:val="auto"/>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中</w:t>
      </w:r>
      <w:r>
        <w:rPr>
          <w:rFonts w:hint="eastAsia" w:ascii="仿宋_GB2312" w:hAnsi="仿宋_GB2312" w:eastAsia="仿宋_GB2312" w:cs="仿宋_GB2312"/>
          <w:b w:val="0"/>
          <w:bCs w:val="0"/>
          <w:spacing w:val="-11"/>
          <w:sz w:val="30"/>
          <w:szCs w:val="30"/>
          <w:lang w:eastAsia="zh-CN"/>
        </w:rPr>
        <w:t>共商学院党委经济学系党支部书记李平衡同志讲党</w:t>
      </w:r>
      <w:r>
        <w:rPr>
          <w:rFonts w:hint="eastAsia" w:ascii="仿宋_GB2312" w:hAnsi="仿宋_GB2312" w:eastAsia="仿宋_GB2312" w:cs="仿宋_GB2312"/>
          <w:b w:val="0"/>
          <w:bCs w:val="0"/>
          <w:sz w:val="30"/>
          <w:szCs w:val="30"/>
          <w:lang w:eastAsia="zh-CN"/>
        </w:rPr>
        <w:t>课……</w:t>
      </w:r>
      <w:r>
        <w:rPr>
          <w:rFonts w:hint="eastAsia" w:ascii="仿宋_GB2312" w:hAnsi="仿宋_GB2312" w:eastAsia="仿宋_GB2312" w:cs="仿宋_GB2312"/>
          <w:b w:val="0"/>
          <w:bCs w:val="0"/>
          <w:sz w:val="30"/>
          <w:szCs w:val="30"/>
          <w:lang w:val="en-US" w:eastAsia="zh-CN"/>
        </w:rPr>
        <w:t>17</w:t>
      </w:r>
    </w:p>
    <w:p>
      <w:pPr>
        <w:keepNext w:val="0"/>
        <w:keepLines w:val="0"/>
        <w:pageBreakBefore w:val="0"/>
        <w:widowControl w:val="0"/>
        <w:numPr>
          <w:ilvl w:val="0"/>
          <w:numId w:val="1"/>
        </w:numPr>
        <w:kinsoku/>
        <w:wordWrap/>
        <w:overflowPunct/>
        <w:topLinePunct w:val="0"/>
        <w:autoSpaceDE/>
        <w:autoSpaceDN/>
        <w:bidi w:val="0"/>
        <w:adjustRightInd/>
        <w:snapToGrid/>
        <w:spacing w:line="900" w:lineRule="exact"/>
        <w:ind w:left="0" w:leftChars="0" w:firstLine="0" w:firstLineChars="0"/>
        <w:jc w:val="distribute"/>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中共商学院党委管理学系党支部书记王阳同志讲党课……</w:t>
      </w:r>
      <w:r>
        <w:rPr>
          <w:rFonts w:hint="eastAsia" w:ascii="仿宋_GB2312" w:hAnsi="仿宋_GB2312" w:eastAsia="仿宋_GB2312" w:cs="仿宋_GB2312"/>
          <w:sz w:val="30"/>
          <w:szCs w:val="30"/>
          <w:lang w:val="en-US" w:eastAsia="zh-CN"/>
        </w:rPr>
        <w:t>27</w:t>
      </w:r>
    </w:p>
    <w:p>
      <w:pPr>
        <w:keepNext w:val="0"/>
        <w:keepLines w:val="0"/>
        <w:pageBreakBefore w:val="0"/>
        <w:widowControl w:val="0"/>
        <w:numPr>
          <w:ilvl w:val="0"/>
          <w:numId w:val="1"/>
        </w:numPr>
        <w:kinsoku/>
        <w:wordWrap/>
        <w:overflowPunct/>
        <w:topLinePunct w:val="0"/>
        <w:autoSpaceDE/>
        <w:autoSpaceDN/>
        <w:bidi w:val="0"/>
        <w:adjustRightInd/>
        <w:snapToGrid/>
        <w:spacing w:line="900" w:lineRule="exact"/>
        <w:ind w:left="0" w:leftChars="0" w:firstLine="0" w:firstLineChars="0"/>
        <w:jc w:val="distribute"/>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中共商学院党委会计学系党支部书记周一萍同志讲党课…</w:t>
      </w:r>
      <w:r>
        <w:rPr>
          <w:rFonts w:hint="eastAsia" w:ascii="仿宋_GB2312" w:hAnsi="仿宋_GB2312" w:eastAsia="仿宋_GB2312" w:cs="仿宋_GB2312"/>
          <w:sz w:val="30"/>
          <w:szCs w:val="30"/>
          <w:lang w:val="en-US" w:eastAsia="zh-CN"/>
        </w:rPr>
        <w:t>34</w:t>
      </w:r>
    </w:p>
    <w:p>
      <w:pPr>
        <w:keepNext w:val="0"/>
        <w:keepLines w:val="0"/>
        <w:pageBreakBefore w:val="0"/>
        <w:widowControl w:val="0"/>
        <w:numPr>
          <w:ilvl w:val="0"/>
          <w:numId w:val="1"/>
        </w:numPr>
        <w:kinsoku/>
        <w:wordWrap/>
        <w:overflowPunct/>
        <w:topLinePunct w:val="0"/>
        <w:autoSpaceDE/>
        <w:autoSpaceDN/>
        <w:bidi w:val="0"/>
        <w:adjustRightInd/>
        <w:snapToGrid/>
        <w:spacing w:line="900" w:lineRule="exact"/>
        <w:ind w:left="0" w:leftChars="0" w:firstLine="0" w:firstLineChars="0"/>
        <w:jc w:val="distribute"/>
        <w:textAlignment w:val="auto"/>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中共商学院党委办公室党支部书记李享同志讲党课………</w:t>
      </w:r>
      <w:r>
        <w:rPr>
          <w:rFonts w:hint="eastAsia" w:ascii="仿宋_GB2312" w:hAnsi="仿宋_GB2312" w:eastAsia="仿宋_GB2312" w:cs="仿宋_GB2312"/>
          <w:sz w:val="30"/>
          <w:szCs w:val="30"/>
          <w:lang w:val="en-US" w:eastAsia="zh-CN"/>
        </w:rPr>
        <w:t>44</w:t>
      </w:r>
    </w:p>
    <w:p>
      <w:pPr>
        <w:jc w:val="distribute"/>
        <w:rPr>
          <w:rFonts w:hint="eastAsia" w:ascii="仿宋_GB2312" w:hAnsi="仿宋_GB2312" w:eastAsia="仿宋_GB2312" w:cs="仿宋_GB2312"/>
          <w:sz w:val="32"/>
          <w:szCs w:val="32"/>
          <w:lang w:eastAsia="zh-CN"/>
        </w:rPr>
      </w:pPr>
    </w:p>
    <w:p>
      <w:pPr>
        <w:jc w:val="distribute"/>
        <w:rPr>
          <w:rFonts w:hint="eastAsia" w:ascii="仿宋_GB2312" w:hAnsi="仿宋_GB2312" w:eastAsia="仿宋_GB2312" w:cs="仿宋_GB2312"/>
          <w:sz w:val="32"/>
          <w:szCs w:val="32"/>
          <w:lang w:eastAsia="zh-CN"/>
        </w:rPr>
      </w:pPr>
    </w:p>
    <w:p>
      <w:pPr>
        <w:jc w:val="distribute"/>
        <w:rPr>
          <w:rFonts w:hint="eastAsia" w:ascii="仿宋_GB2312" w:hAnsi="仿宋_GB2312" w:eastAsia="仿宋_GB2312" w:cs="仿宋_GB2312"/>
          <w:sz w:val="32"/>
          <w:szCs w:val="32"/>
          <w:lang w:eastAsia="zh-CN"/>
        </w:rPr>
      </w:pPr>
    </w:p>
    <w:p>
      <w:pPr>
        <w:jc w:val="distribute"/>
        <w:rPr>
          <w:rFonts w:hint="eastAsia" w:ascii="仿宋_GB2312" w:hAnsi="仿宋_GB2312" w:eastAsia="仿宋_GB2312" w:cs="仿宋_GB2312"/>
          <w:sz w:val="32"/>
          <w:szCs w:val="32"/>
          <w:lang w:eastAsia="zh-CN"/>
        </w:rPr>
      </w:pPr>
    </w:p>
    <w:p>
      <w:pPr>
        <w:jc w:val="distribute"/>
        <w:rPr>
          <w:rFonts w:hint="eastAsia" w:ascii="仿宋_GB2312" w:hAnsi="仿宋_GB2312" w:eastAsia="仿宋_GB2312" w:cs="仿宋_GB2312"/>
          <w:sz w:val="32"/>
          <w:szCs w:val="32"/>
          <w:lang w:eastAsia="zh-CN"/>
        </w:rPr>
      </w:pPr>
      <w:bookmarkStart w:id="1" w:name="_GoBack"/>
      <w:bookmarkEnd w:id="1"/>
    </w:p>
    <w:p>
      <w:pPr>
        <w:jc w:val="distribute"/>
        <w:rPr>
          <w:rFonts w:hint="eastAsia" w:ascii="仿宋_GB2312" w:hAnsi="仿宋_GB2312" w:eastAsia="仿宋_GB2312" w:cs="仿宋_GB2312"/>
          <w:sz w:val="32"/>
          <w:szCs w:val="32"/>
          <w:lang w:eastAsia="zh-CN"/>
        </w:rPr>
        <w:sectPr>
          <w:pgSz w:w="11906" w:h="16838"/>
          <w:pgMar w:top="1440" w:right="1800" w:bottom="1440" w:left="1800" w:header="851" w:footer="992" w:gutter="0"/>
          <w:cols w:space="425" w:num="1"/>
          <w:docGrid w:type="lines" w:linePitch="312" w:charSpace="0"/>
        </w:sectPr>
      </w:pPr>
    </w:p>
    <w:p>
      <w:pPr>
        <w:ind w:left="0" w:leftChars="0" w:firstLine="0" w:firstLineChars="0"/>
        <w:jc w:val="both"/>
        <w:rPr>
          <w:rFonts w:hint="eastAsia" w:ascii="仿宋_GB2312" w:hAnsi="仿宋_GB2312" w:eastAsia="仿宋_GB2312" w:cs="仿宋_GB2312"/>
          <w:sz w:val="32"/>
          <w:szCs w:val="32"/>
          <w:lang w:eastAsia="zh-CN"/>
        </w:rPr>
      </w:pPr>
      <w:r>
        <w:drawing>
          <wp:anchor distT="0" distB="0" distL="114300" distR="114300" simplePos="0" relativeHeight="251777024" behindDoc="0" locked="0" layoutInCell="1" allowOverlap="1">
            <wp:simplePos x="0" y="0"/>
            <wp:positionH relativeFrom="column">
              <wp:posOffset>104775</wp:posOffset>
            </wp:positionH>
            <wp:positionV relativeFrom="paragraph">
              <wp:posOffset>231140</wp:posOffset>
            </wp:positionV>
            <wp:extent cx="5567680" cy="8446135"/>
            <wp:effectExtent l="0" t="0" r="13970" b="1206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567680" cy="8446135"/>
                    </a:xfrm>
                    <a:prstGeom prst="rect">
                      <a:avLst/>
                    </a:prstGeom>
                    <a:noFill/>
                    <a:ln>
                      <a:noFill/>
                    </a:ln>
                  </pic:spPr>
                </pic:pic>
              </a:graphicData>
            </a:graphic>
          </wp:anchor>
        </w:drawing>
      </w: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ind w:left="0" w:leftChars="0" w:firstLine="0" w:firstLineChars="0"/>
        <w:jc w:val="both"/>
        <w:rPr>
          <w:rFonts w:hint="eastAsia" w:ascii="仿宋_GB2312" w:hAnsi="仿宋_GB2312" w:eastAsia="仿宋_GB2312" w:cs="仿宋_GB2312"/>
          <w:sz w:val="32"/>
          <w:szCs w:val="32"/>
          <w:lang w:eastAsia="zh-CN"/>
        </w:rPr>
      </w:pPr>
    </w:p>
    <w:p>
      <w:pPr>
        <w:spacing w:line="600" w:lineRule="exact"/>
        <w:jc w:val="center"/>
        <w:rPr>
          <w:rFonts w:ascii="黑体" w:hAnsi="黑体" w:eastAsia="黑体" w:cs="黑体"/>
          <w:b/>
          <w:bCs/>
          <w:sz w:val="44"/>
          <w:szCs w:val="44"/>
        </w:rPr>
      </w:pPr>
      <w:r>
        <w:rPr>
          <w:rFonts w:hint="eastAsia" w:ascii="黑体" w:hAnsi="黑体" w:eastAsia="黑体" w:cs="黑体"/>
          <w:b/>
          <w:bCs/>
          <w:sz w:val="44"/>
          <w:szCs w:val="44"/>
        </w:rPr>
        <w:t>认真学习《中国共产党问责条例》</w:t>
      </w:r>
    </w:p>
    <w:p>
      <w:pPr>
        <w:spacing w:line="600" w:lineRule="exact"/>
        <w:jc w:val="center"/>
        <w:rPr>
          <w:rFonts w:ascii="黑体" w:hAnsi="黑体" w:eastAsia="黑体" w:cs="黑体"/>
          <w:b/>
          <w:bCs/>
          <w:sz w:val="44"/>
          <w:szCs w:val="44"/>
        </w:rPr>
      </w:pPr>
      <w:r>
        <w:rPr>
          <w:rFonts w:hint="eastAsia" w:ascii="黑体" w:hAnsi="黑体" w:eastAsia="黑体" w:cs="黑体"/>
          <w:b/>
          <w:bCs/>
          <w:sz w:val="44"/>
          <w:szCs w:val="44"/>
        </w:rPr>
        <w:t>做合格共产党员</w:t>
      </w:r>
    </w:p>
    <w:p>
      <w:pPr>
        <w:adjustRightInd w:val="0"/>
        <w:snapToGrid w:val="0"/>
        <w:spacing w:line="600" w:lineRule="exact"/>
        <w:jc w:val="center"/>
        <w:rPr>
          <w:rFonts w:hint="eastAsia" w:ascii="宋体" w:hAnsi="宋体" w:cs="仿宋"/>
          <w:sz w:val="32"/>
          <w:szCs w:val="32"/>
        </w:rPr>
      </w:pPr>
    </w:p>
    <w:p>
      <w:pPr>
        <w:adjustRightInd w:val="0"/>
        <w:snapToGrid w:val="0"/>
        <w:spacing w:line="600" w:lineRule="exact"/>
        <w:jc w:val="center"/>
        <w:rPr>
          <w:rFonts w:ascii="宋体" w:hAnsi="宋体" w:cs="仿宋"/>
          <w:sz w:val="32"/>
          <w:szCs w:val="32"/>
        </w:rPr>
      </w:pPr>
      <w:r>
        <w:rPr>
          <w:rFonts w:hint="eastAsia" w:ascii="宋体" w:hAnsi="宋体" w:cs="仿宋"/>
          <w:sz w:val="32"/>
          <w:szCs w:val="32"/>
        </w:rPr>
        <w:t xml:space="preserve">商学院党委书记  鲍宏礼 </w:t>
      </w:r>
    </w:p>
    <w:p>
      <w:pPr>
        <w:adjustRightInd w:val="0"/>
        <w:snapToGrid w:val="0"/>
        <w:spacing w:line="600" w:lineRule="exact"/>
        <w:rPr>
          <w:rFonts w:ascii="黑体" w:hAnsi="黑体" w:eastAsia="黑体" w:cs="仿宋"/>
          <w:b/>
          <w:sz w:val="32"/>
          <w:szCs w:val="32"/>
        </w:rPr>
      </w:pPr>
    </w:p>
    <w:p>
      <w:pPr>
        <w:adjustRightInd w:val="0"/>
        <w:snapToGrid w:val="0"/>
        <w:spacing w:line="600" w:lineRule="exact"/>
        <w:ind w:firstLine="723" w:firstLineChars="200"/>
        <w:jc w:val="left"/>
        <w:rPr>
          <w:rFonts w:hint="eastAsia" w:ascii="黑体" w:hAnsi="黑体" w:eastAsia="黑体" w:cs="仿宋"/>
          <w:b/>
          <w:sz w:val="36"/>
          <w:szCs w:val="36"/>
        </w:rPr>
      </w:pPr>
      <w:r>
        <w:rPr>
          <w:rFonts w:hint="eastAsia" w:ascii="黑体" w:hAnsi="黑体" w:eastAsia="黑体" w:cs="仿宋"/>
          <w:b/>
          <w:sz w:val="36"/>
          <w:szCs w:val="36"/>
        </w:rPr>
        <w:t>一、引言</w:t>
      </w:r>
    </w:p>
    <w:p>
      <w:pPr>
        <w:adjustRightInd w:val="0"/>
        <w:snapToGrid w:val="0"/>
        <w:spacing w:line="600" w:lineRule="exact"/>
        <w:ind w:firstLine="640" w:firstLineChars="200"/>
        <w:jc w:val="left"/>
        <w:rPr>
          <w:rFonts w:hint="eastAsia" w:ascii="宋体" w:hAnsi="宋体" w:cs="仿宋"/>
          <w:sz w:val="32"/>
          <w:szCs w:val="32"/>
        </w:rPr>
      </w:pPr>
      <w:r>
        <w:rPr>
          <w:rFonts w:hint="eastAsia" w:ascii="宋体" w:hAnsi="宋体" w:cs="仿宋"/>
          <w:sz w:val="32"/>
          <w:szCs w:val="32"/>
        </w:rPr>
        <w:t>习近平总书记明确指出：“无论在哪个方面、哪个部门、哪个地方工作的党员干部，首先要明白自己的第一身份是共产党员，第一职责是为党工作，第一目标是为民谋利。”对于每一名共产党员来说，注重党性教育、加强党性修养，才能站稳政治立场、严守政治纪律和政治规矩。</w:t>
      </w:r>
    </w:p>
    <w:p>
      <w:pPr>
        <w:adjustRightInd w:val="0"/>
        <w:snapToGrid w:val="0"/>
        <w:spacing w:line="600" w:lineRule="exact"/>
        <w:ind w:firstLine="640" w:firstLineChars="200"/>
        <w:jc w:val="left"/>
        <w:rPr>
          <w:rFonts w:hint="eastAsia" w:ascii="宋体" w:hAnsi="宋体" w:cs="仿宋"/>
          <w:sz w:val="32"/>
          <w:szCs w:val="32"/>
        </w:rPr>
      </w:pPr>
      <w:r>
        <w:rPr>
          <w:rFonts w:ascii="宋体" w:hAnsi="宋体" w:cs="仿宋"/>
          <w:sz w:val="32"/>
          <w:szCs w:val="32"/>
        </w:rPr>
        <w:t>2016</w:t>
      </w:r>
      <w:r>
        <w:rPr>
          <w:rFonts w:hint="eastAsia" w:ascii="宋体" w:hAnsi="宋体" w:cs="仿宋"/>
          <w:sz w:val="32"/>
          <w:szCs w:val="32"/>
        </w:rPr>
        <w:t>年</w:t>
      </w:r>
      <w:r>
        <w:rPr>
          <w:rFonts w:ascii="宋体" w:hAnsi="宋体" w:cs="仿宋"/>
          <w:sz w:val="32"/>
          <w:szCs w:val="32"/>
        </w:rPr>
        <w:t>7</w:t>
      </w:r>
      <w:r>
        <w:rPr>
          <w:rFonts w:hint="eastAsia" w:ascii="宋体" w:hAnsi="宋体" w:cs="仿宋"/>
          <w:sz w:val="32"/>
          <w:szCs w:val="32"/>
        </w:rPr>
        <w:t>月</w:t>
      </w:r>
      <w:r>
        <w:rPr>
          <w:rFonts w:ascii="宋体" w:hAnsi="宋体" w:cs="仿宋"/>
          <w:sz w:val="32"/>
          <w:szCs w:val="32"/>
        </w:rPr>
        <w:t>8</w:t>
      </w:r>
      <w:r>
        <w:rPr>
          <w:rFonts w:hint="eastAsia" w:ascii="宋体" w:hAnsi="宋体" w:cs="仿宋"/>
          <w:sz w:val="32"/>
          <w:szCs w:val="32"/>
        </w:rPr>
        <w:t>日，中共中央印发了《中国共产党问责条例》。这就是</w:t>
      </w:r>
      <w:r>
        <w:rPr>
          <w:rFonts w:ascii="宋体" w:hAnsi="宋体" w:cs="仿宋"/>
          <w:sz w:val="32"/>
          <w:szCs w:val="32"/>
        </w:rPr>
        <w:t>2016</w:t>
      </w:r>
      <w:r>
        <w:rPr>
          <w:rFonts w:hint="eastAsia" w:ascii="宋体" w:hAnsi="宋体" w:cs="仿宋"/>
          <w:sz w:val="32"/>
          <w:szCs w:val="32"/>
        </w:rPr>
        <w:t>年版《问责条例》。</w:t>
      </w:r>
      <w:r>
        <w:rPr>
          <w:rFonts w:ascii="宋体" w:hAnsi="宋体" w:cs="仿宋"/>
          <w:sz w:val="32"/>
          <w:szCs w:val="32"/>
        </w:rPr>
        <w:t>2019</w:t>
      </w:r>
      <w:r>
        <w:rPr>
          <w:rFonts w:hint="eastAsia" w:ascii="宋体" w:hAnsi="宋体" w:cs="仿宋"/>
          <w:sz w:val="32"/>
          <w:szCs w:val="32"/>
        </w:rPr>
        <w:t>年</w:t>
      </w:r>
      <w:r>
        <w:rPr>
          <w:rFonts w:ascii="宋体" w:hAnsi="宋体" w:cs="仿宋"/>
          <w:sz w:val="32"/>
          <w:szCs w:val="32"/>
        </w:rPr>
        <w:t>1</w:t>
      </w:r>
      <w:r>
        <w:rPr>
          <w:rFonts w:hint="eastAsia" w:ascii="宋体" w:hAnsi="宋体" w:cs="仿宋"/>
          <w:sz w:val="32"/>
          <w:szCs w:val="32"/>
        </w:rPr>
        <w:t>月</w:t>
      </w:r>
      <w:r>
        <w:rPr>
          <w:rFonts w:ascii="宋体" w:hAnsi="宋体" w:cs="仿宋"/>
          <w:sz w:val="32"/>
          <w:szCs w:val="32"/>
        </w:rPr>
        <w:t>11</w:t>
      </w:r>
      <w:r>
        <w:rPr>
          <w:rFonts w:hint="eastAsia" w:ascii="宋体" w:hAnsi="宋体" w:cs="仿宋"/>
          <w:sz w:val="32"/>
          <w:szCs w:val="32"/>
        </w:rPr>
        <w:t>日，十九届中央纪委三次全会召开，习近平总书记发表重要讲话，要求修订《中国共产党问责条例》。</w:t>
      </w:r>
      <w:r>
        <w:rPr>
          <w:rFonts w:ascii="宋体" w:hAnsi="宋体" w:cs="仿宋"/>
          <w:sz w:val="32"/>
          <w:szCs w:val="32"/>
        </w:rPr>
        <w:t>2019</w:t>
      </w:r>
      <w:r>
        <w:rPr>
          <w:rFonts w:hint="eastAsia" w:ascii="宋体" w:hAnsi="宋体" w:cs="仿宋"/>
          <w:sz w:val="32"/>
          <w:szCs w:val="32"/>
        </w:rPr>
        <w:t>年</w:t>
      </w:r>
      <w:r>
        <w:rPr>
          <w:rFonts w:ascii="宋体" w:hAnsi="宋体" w:cs="仿宋"/>
          <w:sz w:val="32"/>
          <w:szCs w:val="32"/>
        </w:rPr>
        <w:t>7</w:t>
      </w:r>
      <w:r>
        <w:rPr>
          <w:rFonts w:hint="eastAsia" w:ascii="宋体" w:hAnsi="宋体" w:cs="仿宋"/>
          <w:sz w:val="32"/>
          <w:szCs w:val="32"/>
        </w:rPr>
        <w:t>月</w:t>
      </w:r>
      <w:r>
        <w:rPr>
          <w:rFonts w:ascii="宋体" w:hAnsi="宋体" w:cs="仿宋"/>
          <w:sz w:val="32"/>
          <w:szCs w:val="32"/>
        </w:rPr>
        <w:t>30</w:t>
      </w:r>
      <w:r>
        <w:rPr>
          <w:rFonts w:hint="eastAsia" w:ascii="宋体" w:hAnsi="宋体" w:cs="仿宋"/>
          <w:sz w:val="32"/>
          <w:szCs w:val="32"/>
        </w:rPr>
        <w:t>日，习近平总书记主持中央政治局会议，审议了新修订《中国共产党问责条例》。</w:t>
      </w:r>
      <w:r>
        <w:rPr>
          <w:rFonts w:ascii="宋体" w:hAnsi="宋体" w:cs="仿宋"/>
          <w:sz w:val="32"/>
          <w:szCs w:val="32"/>
        </w:rPr>
        <w:t>2019</w:t>
      </w:r>
      <w:r>
        <w:rPr>
          <w:rFonts w:hint="eastAsia" w:ascii="宋体" w:hAnsi="宋体" w:cs="仿宋"/>
          <w:sz w:val="32"/>
          <w:szCs w:val="32"/>
        </w:rPr>
        <w:t>年</w:t>
      </w:r>
      <w:r>
        <w:rPr>
          <w:rFonts w:ascii="宋体" w:hAnsi="宋体" w:cs="仿宋"/>
          <w:sz w:val="32"/>
          <w:szCs w:val="32"/>
        </w:rPr>
        <w:t>9</w:t>
      </w:r>
      <w:r>
        <w:rPr>
          <w:rFonts w:hint="eastAsia" w:ascii="宋体" w:hAnsi="宋体" w:cs="仿宋"/>
          <w:sz w:val="32"/>
          <w:szCs w:val="32"/>
        </w:rPr>
        <w:t>月</w:t>
      </w:r>
      <w:r>
        <w:rPr>
          <w:rFonts w:ascii="宋体" w:hAnsi="宋体" w:cs="仿宋"/>
          <w:sz w:val="32"/>
          <w:szCs w:val="32"/>
        </w:rPr>
        <w:t>4</w:t>
      </w:r>
      <w:r>
        <w:rPr>
          <w:rFonts w:hint="eastAsia" w:ascii="宋体" w:hAnsi="宋体" w:cs="仿宋"/>
          <w:sz w:val="32"/>
          <w:szCs w:val="32"/>
        </w:rPr>
        <w:t>日，中共中央印发修订后的《中国共产党问责条例》，自</w:t>
      </w:r>
      <w:r>
        <w:rPr>
          <w:rFonts w:ascii="宋体" w:hAnsi="宋体" w:cs="仿宋"/>
          <w:sz w:val="32"/>
          <w:szCs w:val="32"/>
        </w:rPr>
        <w:t>2019</w:t>
      </w:r>
      <w:r>
        <w:rPr>
          <w:rFonts w:hint="eastAsia" w:ascii="宋体" w:hAnsi="宋体" w:cs="仿宋"/>
          <w:sz w:val="32"/>
          <w:szCs w:val="32"/>
        </w:rPr>
        <w:t>年</w:t>
      </w:r>
      <w:r>
        <w:rPr>
          <w:rFonts w:ascii="宋体" w:hAnsi="宋体" w:cs="仿宋"/>
          <w:sz w:val="32"/>
          <w:szCs w:val="32"/>
        </w:rPr>
        <w:t>9</w:t>
      </w:r>
      <w:r>
        <w:rPr>
          <w:rFonts w:hint="eastAsia" w:ascii="宋体" w:hAnsi="宋体" w:cs="仿宋"/>
          <w:sz w:val="32"/>
          <w:szCs w:val="32"/>
        </w:rPr>
        <w:t>月</w:t>
      </w:r>
      <w:r>
        <w:rPr>
          <w:rFonts w:ascii="宋体" w:hAnsi="宋体" w:cs="仿宋"/>
          <w:sz w:val="32"/>
          <w:szCs w:val="32"/>
        </w:rPr>
        <w:t>1</w:t>
      </w:r>
      <w:r>
        <w:rPr>
          <w:rFonts w:hint="eastAsia" w:ascii="宋体" w:hAnsi="宋体" w:cs="仿宋"/>
          <w:sz w:val="32"/>
          <w:szCs w:val="32"/>
        </w:rPr>
        <w:t>日起施行。这就是现行的</w:t>
      </w:r>
      <w:r>
        <w:rPr>
          <w:rFonts w:ascii="宋体" w:hAnsi="宋体" w:cs="仿宋"/>
          <w:sz w:val="32"/>
          <w:szCs w:val="32"/>
        </w:rPr>
        <w:t>2019</w:t>
      </w:r>
      <w:r>
        <w:rPr>
          <w:rFonts w:hint="eastAsia" w:ascii="宋体" w:hAnsi="宋体" w:cs="仿宋"/>
          <w:sz w:val="32"/>
          <w:szCs w:val="32"/>
        </w:rPr>
        <w:t>版《问责条例》。</w:t>
      </w:r>
    </w:p>
    <w:p>
      <w:pPr>
        <w:adjustRightInd w:val="0"/>
        <w:snapToGrid w:val="0"/>
        <w:spacing w:line="600" w:lineRule="exact"/>
        <w:ind w:firstLine="640" w:firstLineChars="200"/>
        <w:jc w:val="left"/>
        <w:rPr>
          <w:rFonts w:hint="eastAsia" w:ascii="宋体" w:hAnsi="宋体" w:cs="仿宋"/>
          <w:sz w:val="32"/>
          <w:szCs w:val="32"/>
        </w:rPr>
      </w:pPr>
      <w:r>
        <w:rPr>
          <w:rFonts w:hint="eastAsia" w:ascii="宋体" w:hAnsi="宋体" w:cs="仿宋"/>
          <w:sz w:val="32"/>
          <w:szCs w:val="32"/>
        </w:rPr>
        <w:t>我们要结合工作生活实际，认真学习问责条例，严格要求自己。“落其实者思其树，饮其流者怀其源”，用心做好党员问责的“眼保健操”，方能于内部防微杜渐、排除隐患，于外部施压祛除，以儆效尤，坚持“严”字当头，在实践中避免犯错误，作合格共产党员。</w:t>
      </w:r>
    </w:p>
    <w:p>
      <w:pPr>
        <w:adjustRightInd w:val="0"/>
        <w:snapToGrid w:val="0"/>
        <w:spacing w:line="600" w:lineRule="exact"/>
        <w:ind w:firstLine="723" w:firstLineChars="200"/>
        <w:jc w:val="left"/>
        <w:rPr>
          <w:rFonts w:hint="eastAsia" w:ascii="黑体" w:hAnsi="黑体" w:eastAsia="黑体" w:cs="仿宋"/>
          <w:b/>
          <w:sz w:val="36"/>
          <w:szCs w:val="36"/>
        </w:rPr>
      </w:pPr>
      <w:r>
        <w:rPr>
          <w:rFonts w:hint="eastAsia" w:ascii="黑体" w:hAnsi="黑体" w:eastAsia="黑体" w:cs="仿宋"/>
          <w:b/>
          <w:sz w:val="36"/>
          <w:szCs w:val="36"/>
        </w:rPr>
        <w:t>二、我们为什么要学习《问责条例》</w:t>
      </w:r>
    </w:p>
    <w:p>
      <w:pPr>
        <w:adjustRightInd w:val="0"/>
        <w:snapToGrid w:val="0"/>
        <w:spacing w:line="600" w:lineRule="exact"/>
        <w:ind w:firstLine="480" w:firstLineChars="150"/>
        <w:jc w:val="left"/>
        <w:rPr>
          <w:rFonts w:ascii="宋体" w:hAnsi="宋体" w:cs="仿宋"/>
          <w:sz w:val="32"/>
          <w:szCs w:val="32"/>
        </w:rPr>
      </w:pPr>
      <w:r>
        <w:rPr>
          <w:rFonts w:hint="eastAsia" w:ascii="宋体" w:hAnsi="宋体" w:cs="仿宋"/>
          <w:sz w:val="32"/>
          <w:szCs w:val="32"/>
        </w:rPr>
        <w:t xml:space="preserve">《中国共产党问责条例》是我们党历史上第一部规范党的问责工作的基础性法规，释放了有权必有责、有责要担当、失责必追究的强烈信号，是落实全面从严治党的利器。学习贯彻好《问责条例》，是当前各级党组织的一项重大政治任务。今天我们部署《问责条例》学习贯彻工作，有效地与“两学一做”学习教育结合起来、与各项事业发展结合起来。我们班子成员、全体党员，特别是我们领导干部尤其要认真学习，通过学习提炼对问责工作规律的新认识，以更高更严的标准要求自己，让问责真正发挥压实管党治党政治责任、激发干部干事创业精气神的积极作用。 </w:t>
      </w:r>
    </w:p>
    <w:p>
      <w:pPr>
        <w:adjustRightInd w:val="0"/>
        <w:snapToGrid w:val="0"/>
        <w:spacing w:line="600" w:lineRule="exact"/>
        <w:ind w:firstLine="480" w:firstLineChars="150"/>
        <w:jc w:val="left"/>
        <w:rPr>
          <w:rFonts w:hint="eastAsia" w:ascii="宋体" w:hAnsi="宋体" w:cs="仿宋"/>
          <w:sz w:val="32"/>
          <w:szCs w:val="32"/>
        </w:rPr>
      </w:pPr>
      <w:r>
        <w:rPr>
          <w:rFonts w:hint="eastAsia" w:ascii="宋体" w:hAnsi="宋体" w:cs="仿宋"/>
          <w:sz w:val="32"/>
          <w:szCs w:val="32"/>
        </w:rPr>
        <w:t>　第一，我们要通过深入学习，强化责任担当。习近平总书记指出，从严治党，必须增强管党治党意识、落实管党治党责任。不明确责任，不落实责任，不追究责任，从严治党是做不到的。从实际看，有的党组织和党员干部在问责处理问题上不愿担当，存在不求有功、但求无过的思想;有的不敢担当，存在“老好人”思想，不愿得罪人，该管的不管;有的不善担当，对问题避而远之、绕道而行，甚至视而不见。</w:t>
      </w:r>
    </w:p>
    <w:p>
      <w:pPr>
        <w:adjustRightInd w:val="0"/>
        <w:snapToGrid w:val="0"/>
        <w:spacing w:line="600" w:lineRule="exact"/>
        <w:ind w:firstLine="800" w:firstLineChars="250"/>
        <w:jc w:val="left"/>
        <w:rPr>
          <w:rFonts w:hint="eastAsia" w:ascii="宋体" w:hAnsi="宋体" w:cs="仿宋"/>
          <w:sz w:val="32"/>
          <w:szCs w:val="32"/>
        </w:rPr>
      </w:pPr>
      <w:r>
        <w:rPr>
          <w:rFonts w:hint="eastAsia" w:ascii="宋体" w:hAnsi="宋体" w:cs="仿宋"/>
          <w:sz w:val="32"/>
          <w:szCs w:val="32"/>
        </w:rPr>
        <w:t>第二，我们要通过深入学习《问责条例》，吃透精神，掌握实质，知责明责，进一步增强政治意识、大局意识、核心意识、看齐意识，进一步唤醒责任意识，激发担当精神，补好责任短板，切实把思想和行动统一到中央和学校党委的决策部署上来，做到守土有责、守土负责、守土尽责，坚决克服不愿、不敢、不善担当的不良思想倾向，在加强党的领导、推进党的建设、全面从严治党上担当有为，推动全面从严治党在商学院落地生根。</w:t>
      </w:r>
    </w:p>
    <w:p>
      <w:pPr>
        <w:adjustRightInd w:val="0"/>
        <w:snapToGrid w:val="0"/>
        <w:spacing w:line="600" w:lineRule="exact"/>
        <w:ind w:firstLine="800" w:firstLineChars="250"/>
        <w:jc w:val="left"/>
        <w:rPr>
          <w:rFonts w:ascii="宋体" w:hAnsi="宋体" w:cs="仿宋"/>
          <w:sz w:val="32"/>
          <w:szCs w:val="32"/>
        </w:rPr>
      </w:pPr>
      <w:r>
        <w:rPr>
          <w:rFonts w:hint="eastAsia" w:ascii="宋体" w:hAnsi="宋体" w:cs="仿宋"/>
          <w:sz w:val="32"/>
          <w:szCs w:val="32"/>
        </w:rPr>
        <w:t>第三，要通过学习《问责条例》，坚持失责必问、问责必严原则，高举问责利器。做到以上率下，做好表率示范。权力就是责任，责任就要担当。对于每一名领导干部来讲，敢于担当是最基本的政治品格。我们班子成员、各支部书记、系主任，既是贯彻《问责条例》的主体，也是被问责的对象，要带头抓《问责条例》的执行。做到真管真严、敢管敢严、长管长严。党政主要负责人要认真落实“第一责任人”责任，做到以身作则、以上率下，层层传导责任和压力，以“关键少数”带动“大多数”。要把责任追究与监督检查、年终目标考核有机结合起来，让《问责条例》成为商学院事业发展的政治保障。</w:t>
      </w:r>
    </w:p>
    <w:p>
      <w:pPr>
        <w:adjustRightInd w:val="0"/>
        <w:snapToGrid w:val="0"/>
        <w:spacing w:line="600" w:lineRule="exact"/>
        <w:ind w:firstLine="723" w:firstLineChars="200"/>
        <w:jc w:val="left"/>
        <w:rPr>
          <w:rFonts w:ascii="黑体" w:hAnsi="黑体" w:eastAsia="黑体" w:cs="仿宋"/>
          <w:b/>
          <w:sz w:val="36"/>
          <w:szCs w:val="36"/>
        </w:rPr>
      </w:pPr>
      <w:r>
        <w:rPr>
          <w:rFonts w:hint="eastAsia" w:ascii="黑体" w:hAnsi="黑体" w:eastAsia="黑体" w:cs="仿宋"/>
          <w:b/>
          <w:sz w:val="36"/>
          <w:szCs w:val="36"/>
        </w:rPr>
        <w:t>三、《问责条例》的修订背景</w:t>
      </w:r>
    </w:p>
    <w:p>
      <w:pPr>
        <w:adjustRightInd w:val="0"/>
        <w:snapToGrid w:val="0"/>
        <w:spacing w:line="600" w:lineRule="exact"/>
        <w:ind w:firstLine="640" w:firstLineChars="200"/>
        <w:jc w:val="left"/>
        <w:rPr>
          <w:rFonts w:ascii="宋体" w:cs="仿宋"/>
          <w:sz w:val="32"/>
          <w:szCs w:val="32"/>
        </w:rPr>
      </w:pPr>
      <w:r>
        <w:rPr>
          <w:rFonts w:ascii="宋体" w:hAnsi="宋体" w:cs="仿宋"/>
          <w:sz w:val="32"/>
          <w:szCs w:val="32"/>
        </w:rPr>
        <w:t>2016</w:t>
      </w:r>
      <w:r>
        <w:rPr>
          <w:rFonts w:hint="eastAsia" w:ascii="宋体" w:hAnsi="宋体" w:cs="仿宋"/>
          <w:sz w:val="32"/>
          <w:szCs w:val="32"/>
        </w:rPr>
        <w:t>年版《问责条例》为党的问责工作提供了制度遵循，成为管党治党的利器，形成了失责必问、问责必严的良好氛围。据统计，仅</w:t>
      </w:r>
      <w:r>
        <w:rPr>
          <w:rFonts w:ascii="宋体" w:hAnsi="宋体" w:cs="仿宋"/>
          <w:sz w:val="32"/>
          <w:szCs w:val="32"/>
        </w:rPr>
        <w:t>2018</w:t>
      </w:r>
      <w:r>
        <w:rPr>
          <w:rFonts w:hint="eastAsia" w:ascii="宋体" w:hAnsi="宋体" w:cs="仿宋"/>
          <w:sz w:val="32"/>
          <w:szCs w:val="32"/>
        </w:rPr>
        <w:t>年，全国共有</w:t>
      </w:r>
      <w:r>
        <w:rPr>
          <w:rFonts w:ascii="宋体" w:hAnsi="宋体" w:cs="仿宋"/>
          <w:sz w:val="32"/>
          <w:szCs w:val="32"/>
        </w:rPr>
        <w:t>1.3</w:t>
      </w:r>
      <w:r>
        <w:rPr>
          <w:rFonts w:hint="eastAsia" w:ascii="宋体" w:hAnsi="宋体" w:cs="仿宋"/>
          <w:sz w:val="32"/>
          <w:szCs w:val="32"/>
        </w:rPr>
        <w:t>万个单位党委（党组）、党总支、党支部，</w:t>
      </w:r>
      <w:r>
        <w:rPr>
          <w:rFonts w:ascii="宋体" w:hAnsi="宋体" w:cs="仿宋"/>
          <w:sz w:val="32"/>
          <w:szCs w:val="32"/>
        </w:rPr>
        <w:t>237</w:t>
      </w:r>
      <w:r>
        <w:rPr>
          <w:rFonts w:hint="eastAsia" w:ascii="宋体" w:hAnsi="宋体" w:cs="仿宋"/>
          <w:sz w:val="32"/>
          <w:szCs w:val="32"/>
        </w:rPr>
        <w:t>个纪委（纪检组），</w:t>
      </w:r>
      <w:r>
        <w:rPr>
          <w:rFonts w:ascii="宋体" w:hAnsi="宋体" w:cs="仿宋"/>
          <w:sz w:val="32"/>
          <w:szCs w:val="32"/>
        </w:rPr>
        <w:t>6.1</w:t>
      </w:r>
      <w:r>
        <w:rPr>
          <w:rFonts w:hint="eastAsia" w:ascii="宋体" w:hAnsi="宋体" w:cs="仿宋"/>
          <w:sz w:val="32"/>
          <w:szCs w:val="32"/>
        </w:rPr>
        <w:t>万名党员领导干部被问责。</w:t>
      </w:r>
    </w:p>
    <w:p>
      <w:pPr>
        <w:shd w:val="clear" w:color="auto" w:fill="FFFFFF"/>
        <w:spacing w:line="600" w:lineRule="exact"/>
        <w:ind w:firstLine="640" w:firstLineChars="200"/>
        <w:rPr>
          <w:rFonts w:hint="eastAsia" w:ascii="宋体" w:cs="仿宋"/>
          <w:sz w:val="32"/>
          <w:szCs w:val="32"/>
        </w:rPr>
      </w:pPr>
      <w:r>
        <w:rPr>
          <w:rFonts w:hint="eastAsia" w:ascii="宋体" w:hAnsi="宋体" w:cs="仿宋"/>
          <w:sz w:val="32"/>
          <w:szCs w:val="32"/>
        </w:rPr>
        <w:t>但是，随着形势任务的发展和问责实践的深化，《问责条例》在实践中存在着不足：问责泛化简单化、“躺着中枪”的职能式问责、“刚播种就要收获”的计时式问责、只为舆情降温的灭火式问责、对困难不闻不问的机械式问责等等。这些都广为诟病。如，</w:t>
      </w:r>
      <w:r>
        <w:rPr>
          <w:rFonts w:ascii="宋体" w:hAnsi="宋体" w:cs="仿宋"/>
          <w:sz w:val="32"/>
          <w:szCs w:val="32"/>
        </w:rPr>
        <w:t>2018</w:t>
      </w:r>
      <w:r>
        <w:rPr>
          <w:rFonts w:hint="eastAsia" w:ascii="宋体" w:hAnsi="宋体" w:cs="仿宋"/>
          <w:sz w:val="32"/>
          <w:szCs w:val="32"/>
        </w:rPr>
        <w:t>年</w:t>
      </w:r>
      <w:r>
        <w:rPr>
          <w:rFonts w:ascii="宋体" w:hAnsi="宋体" w:cs="仿宋"/>
          <w:sz w:val="32"/>
          <w:szCs w:val="32"/>
        </w:rPr>
        <w:t>8</w:t>
      </w:r>
      <w:r>
        <w:rPr>
          <w:rFonts w:hint="eastAsia" w:ascii="宋体" w:hAnsi="宋体" w:cs="仿宋"/>
          <w:sz w:val="32"/>
          <w:szCs w:val="32"/>
        </w:rPr>
        <w:t>月，安徽省全椒县农村公路局副局长张伟，在晚上</w:t>
      </w:r>
      <w:r>
        <w:rPr>
          <w:rFonts w:ascii="宋体" w:hAnsi="宋体" w:cs="仿宋"/>
          <w:sz w:val="32"/>
          <w:szCs w:val="32"/>
        </w:rPr>
        <w:t>19:31</w:t>
      </w:r>
      <w:r>
        <w:rPr>
          <w:rFonts w:hint="eastAsia" w:ascii="宋体" w:hAnsi="宋体" w:cs="仿宋"/>
          <w:sz w:val="32"/>
          <w:szCs w:val="32"/>
        </w:rPr>
        <w:t>分至</w:t>
      </w:r>
      <w:r>
        <w:rPr>
          <w:rFonts w:ascii="宋体" w:hAnsi="宋体" w:cs="仿宋"/>
          <w:sz w:val="32"/>
          <w:szCs w:val="32"/>
        </w:rPr>
        <w:t>19:35</w:t>
      </w:r>
      <w:r>
        <w:rPr>
          <w:rFonts w:hint="eastAsia" w:ascii="宋体" w:hAnsi="宋体" w:cs="仿宋"/>
          <w:sz w:val="32"/>
          <w:szCs w:val="32"/>
        </w:rPr>
        <w:t>分期间，因四次未接听省脱贫攻坚巡查组电话，被给予党内警告处分。</w:t>
      </w:r>
      <w:r>
        <w:rPr>
          <w:rFonts w:ascii="宋体" w:hAnsi="宋体" w:cs="仿宋"/>
          <w:sz w:val="32"/>
          <w:szCs w:val="32"/>
        </w:rPr>
        <w:t>——</w:t>
      </w:r>
      <w:r>
        <w:rPr>
          <w:rFonts w:hint="eastAsia" w:ascii="宋体" w:hAnsi="宋体" w:cs="仿宋"/>
          <w:sz w:val="32"/>
          <w:szCs w:val="32"/>
        </w:rPr>
        <w:t>这个案例普遍被认为是问责泛化简单化的典型案例。</w:t>
      </w:r>
    </w:p>
    <w:p>
      <w:pPr>
        <w:shd w:val="clear" w:color="auto" w:fill="FFFFFF"/>
        <w:spacing w:line="600" w:lineRule="exact"/>
        <w:ind w:firstLine="640" w:firstLineChars="200"/>
        <w:rPr>
          <w:rFonts w:ascii="宋体" w:cs="仿宋"/>
          <w:sz w:val="32"/>
          <w:szCs w:val="32"/>
        </w:rPr>
      </w:pPr>
      <w:r>
        <w:rPr>
          <w:rFonts w:hint="eastAsia" w:ascii="宋体" w:hAnsi="宋体" w:cs="仿宋"/>
          <w:sz w:val="32"/>
          <w:szCs w:val="32"/>
        </w:rPr>
        <w:t>因此，对2016年版的《问责条例》进行修订显得十分有必要。这次修订，全面贯彻习近平新时代中国特色社会主义思想和党的十九大精神，以党章为根本遵循，聚焦管党治党政治责任，坚持严字当头，针对实践中出现的问责不力、泛化简单化等问题，着力提高党的问责工作的政治性、精准性、实效性。</w:t>
      </w:r>
    </w:p>
    <w:p>
      <w:pPr>
        <w:adjustRightInd w:val="0"/>
        <w:snapToGrid w:val="0"/>
        <w:spacing w:line="600" w:lineRule="exact"/>
        <w:ind w:firstLine="723" w:firstLineChars="200"/>
        <w:jc w:val="left"/>
        <w:rPr>
          <w:rFonts w:ascii="黑体" w:hAnsi="黑体" w:eastAsia="黑体" w:cs="仿宋"/>
          <w:b/>
          <w:sz w:val="36"/>
          <w:szCs w:val="36"/>
        </w:rPr>
      </w:pPr>
      <w:r>
        <w:rPr>
          <w:rFonts w:hint="eastAsia" w:ascii="黑体" w:hAnsi="黑体" w:eastAsia="黑体" w:cs="仿宋"/>
          <w:b/>
          <w:sz w:val="36"/>
          <w:szCs w:val="36"/>
        </w:rPr>
        <w:t>四、《问责条例》的修订内容</w:t>
      </w:r>
    </w:p>
    <w:p>
      <w:pPr>
        <w:adjustRightInd w:val="0"/>
        <w:snapToGrid w:val="0"/>
        <w:spacing w:line="600" w:lineRule="exact"/>
        <w:ind w:firstLine="640" w:firstLineChars="200"/>
        <w:jc w:val="left"/>
        <w:rPr>
          <w:rFonts w:ascii="宋体" w:cs="仿宋"/>
          <w:sz w:val="32"/>
          <w:szCs w:val="32"/>
        </w:rPr>
      </w:pPr>
      <w:r>
        <w:rPr>
          <w:rFonts w:ascii="宋体" w:hAnsi="宋体" w:cs="仿宋"/>
          <w:sz w:val="32"/>
          <w:szCs w:val="32"/>
        </w:rPr>
        <w:t>2019</w:t>
      </w:r>
      <w:r>
        <w:rPr>
          <w:rFonts w:hint="eastAsia" w:ascii="宋体" w:hAnsi="宋体" w:cs="仿宋"/>
          <w:sz w:val="32"/>
          <w:szCs w:val="32"/>
        </w:rPr>
        <w:t>版《问责条例》共</w:t>
      </w:r>
      <w:r>
        <w:rPr>
          <w:rFonts w:ascii="宋体" w:hAnsi="宋体" w:cs="仿宋"/>
          <w:sz w:val="32"/>
          <w:szCs w:val="32"/>
        </w:rPr>
        <w:t>27</w:t>
      </w:r>
      <w:r>
        <w:rPr>
          <w:rFonts w:hint="eastAsia" w:ascii="宋体" w:hAnsi="宋体" w:cs="仿宋"/>
          <w:sz w:val="32"/>
          <w:szCs w:val="32"/>
        </w:rPr>
        <w:t>条，与</w:t>
      </w:r>
      <w:r>
        <w:rPr>
          <w:rFonts w:ascii="宋体" w:hAnsi="宋体" w:cs="仿宋"/>
          <w:sz w:val="32"/>
          <w:szCs w:val="32"/>
        </w:rPr>
        <w:t>2016</w:t>
      </w:r>
      <w:r>
        <w:rPr>
          <w:rFonts w:hint="eastAsia" w:ascii="宋体" w:hAnsi="宋体" w:cs="仿宋"/>
          <w:sz w:val="32"/>
          <w:szCs w:val="32"/>
        </w:rPr>
        <w:t>年版比较，新增</w:t>
      </w:r>
      <w:r>
        <w:rPr>
          <w:rFonts w:ascii="宋体" w:hAnsi="宋体" w:cs="仿宋"/>
          <w:sz w:val="32"/>
          <w:szCs w:val="32"/>
        </w:rPr>
        <w:t>14</w:t>
      </w:r>
      <w:r>
        <w:rPr>
          <w:rFonts w:hint="eastAsia" w:ascii="宋体" w:hAnsi="宋体" w:cs="仿宋"/>
          <w:sz w:val="32"/>
          <w:szCs w:val="32"/>
        </w:rPr>
        <w:t>条，修改</w:t>
      </w:r>
      <w:r>
        <w:rPr>
          <w:rFonts w:ascii="宋体" w:hAnsi="宋体" w:cs="仿宋"/>
          <w:sz w:val="32"/>
          <w:szCs w:val="32"/>
        </w:rPr>
        <w:t>12</w:t>
      </w:r>
      <w:r>
        <w:rPr>
          <w:rFonts w:hint="eastAsia" w:ascii="宋体" w:hAnsi="宋体" w:cs="仿宋"/>
          <w:sz w:val="32"/>
          <w:szCs w:val="32"/>
        </w:rPr>
        <w:t>条。新增和修改条款，表现在五个大的方面：</w:t>
      </w:r>
    </w:p>
    <w:p>
      <w:pPr>
        <w:adjustRightInd w:val="0"/>
        <w:snapToGrid w:val="0"/>
        <w:spacing w:line="600" w:lineRule="exact"/>
        <w:ind w:firstLine="640" w:firstLineChars="200"/>
        <w:jc w:val="left"/>
        <w:rPr>
          <w:rFonts w:ascii="宋体" w:hAnsi="宋体" w:cs="仿宋"/>
          <w:sz w:val="32"/>
          <w:szCs w:val="32"/>
        </w:rPr>
      </w:pPr>
      <w:r>
        <w:rPr>
          <w:rFonts w:hint="eastAsia" w:ascii="宋体" w:hAnsi="宋体" w:cs="仿宋"/>
          <w:sz w:val="32"/>
          <w:szCs w:val="32"/>
        </w:rPr>
        <w:t>第一，体现“严字当头”、压实政治责任。这主要表现在以下几个方面：</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一是明确问责主体。《问责条例》第四条规定党委（党组）履行全面从严治党主体责任，加强对本地区本部门本单位问责工作的领导，追究失职失责党组织和党的领导干部的主体责任、监督责任、领导责任，而不是追究党员领导干部对自己违纪行为的直接责任。</w:t>
      </w:r>
    </w:p>
    <w:p>
      <w:pPr>
        <w:adjustRightInd w:val="0"/>
        <w:snapToGrid w:val="0"/>
        <w:spacing w:line="600" w:lineRule="exact"/>
        <w:ind w:firstLine="640" w:firstLineChars="200"/>
        <w:rPr>
          <w:rFonts w:ascii="宋体" w:cs="仿宋"/>
          <w:sz w:val="32"/>
          <w:szCs w:val="32"/>
        </w:rPr>
      </w:pPr>
      <w:r>
        <w:rPr>
          <w:rFonts w:hint="eastAsia" w:ascii="宋体" w:hAnsi="宋体" w:cs="仿宋"/>
          <w:sz w:val="32"/>
          <w:szCs w:val="32"/>
        </w:rPr>
        <w:t>纪委履行监督专责，协助同级党委开展问责工作，纪委派驻（派出）机构按照职责权限开展问责工作；党的工作机关依据职能履行监督职责，实施本机关本系统本领域的问责工作。这里还有一个“双问责制”问题。《问责条例》第六条第二款规定，对党组织问责的，应当同时对该党组织中负有责任的领导班子成员进行问责。</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二是强化领导监督。《问责条例》第九条明确了纪委、党的工作机关启动问责调查、作出问责决定等有关事项应当报经同级党委或者其主要负责人批准的情形；规定对于应当启动问责调查未及时启动的，上级党组织应当责令有管理权限的党组织启动，根据问题性质或者工作需要，上级党组织可以直接启动问责调查，也可以指定其他党组织启动。</w:t>
      </w:r>
    </w:p>
    <w:p>
      <w:pPr>
        <w:adjustRightInd w:val="0"/>
        <w:snapToGrid w:val="0"/>
        <w:spacing w:line="600" w:lineRule="exact"/>
        <w:ind w:firstLine="640" w:firstLineChars="200"/>
        <w:jc w:val="left"/>
        <w:rPr>
          <w:rFonts w:ascii="宋体" w:hAnsi="宋体" w:cs="仿宋"/>
          <w:sz w:val="32"/>
          <w:szCs w:val="32"/>
        </w:rPr>
      </w:pPr>
      <w:r>
        <w:rPr>
          <w:rFonts w:hint="eastAsia" w:ascii="宋体" w:hAnsi="宋体" w:cs="仿宋"/>
          <w:sz w:val="32"/>
          <w:szCs w:val="32"/>
        </w:rPr>
        <w:t>第二，体现在丰富了问责情形。《问责条例》第七条将原有的</w:t>
      </w:r>
      <w:r>
        <w:rPr>
          <w:rFonts w:ascii="宋体" w:hAnsi="宋体" w:cs="仿宋"/>
          <w:sz w:val="32"/>
          <w:szCs w:val="32"/>
        </w:rPr>
        <w:t>6</w:t>
      </w:r>
      <w:r>
        <w:rPr>
          <w:rFonts w:hint="eastAsia" w:ascii="宋体" w:hAnsi="宋体" w:cs="仿宋"/>
          <w:sz w:val="32"/>
          <w:szCs w:val="32"/>
        </w:rPr>
        <w:t>大类问责情形修改为</w:t>
      </w:r>
      <w:r>
        <w:rPr>
          <w:rFonts w:ascii="宋体" w:hAnsi="宋体" w:cs="仿宋"/>
          <w:sz w:val="32"/>
          <w:szCs w:val="32"/>
        </w:rPr>
        <w:t>11</w:t>
      </w:r>
      <w:r>
        <w:rPr>
          <w:rFonts w:hint="eastAsia" w:ascii="宋体" w:hAnsi="宋体" w:cs="仿宋"/>
          <w:sz w:val="32"/>
          <w:szCs w:val="32"/>
        </w:rPr>
        <w:t>大类。修改后的问责情形涵盖了党的领导、党的建设和党的事业各个方面。</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一是尊崇、维护党章，拓展党的建设缺失情形。《问责条例》第七条第二至七款围绕新时代党的建设总要求，对维护党的纪律不力等情形进行细化，具体明确为党的政治建设抓得不实、党的思想建设缺失、党的组织建设薄弱、党的作风建设松懈、党的纪律建设抓得不严以及推进党风廉政建设和反腐败斗争不坚决、不扎实等问责情形。比如，不遵守重大事项请示报告制度、党的政治建设工作责任制落实不到位（第七条第二款）、理想信念宗旨教育流于形式、意识形态工作责任制落实不到位（第七条第三款）、不执行领导班子议事决策规则、不执行民主生活会、“三会一课”等组织生活制度、领导干部报告个人事项执行不力（第七条第四款）、落实中央八项规定及其实施细则精神不力（第七条第五款）、维护党的纪律不力导致违规违纪行为多发（第七条第六款）、推进党风廉政建设和反腐败斗争不坚决、不扎实（第七条第七款）等，都列入了问责情形。</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二是修改完善“两个责任”落实不到位情形。《问责条例》第七条第八款根据形势任务和实践发展，对原有的党的领导弱化、全面从严治党主体责任监督责任落实不到位等问责情形，进行了修改完善。如，好人主义盛行、该发现的问题没有发现、发现问题不报告、不处置、落实巡视整改要求走过场、不到位、该问责不问责等，都列入了问责情形。</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三是落实以人民为中心的要求。《问责条例》第七条第九至十款增加了履行管理监督职责不力，在涉及人民群众最关心最直接最现实的利益问题上不作为、乱作为、慢作为、假作为等问责情形。如，职责范围内发生重特大生产安全事故、群体性事件、公共安全事件，群众身边腐败问题和作风问题严重等，都列入了问责情形。</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 xml:space="preserve">刚才，从整体上为各位领导一起梳理了十个方面的问责情形，加上其他情形，一共是十一种问责情形。下面结合《问责条例》的具体问责情形，介绍几个典型案例。 </w:t>
      </w:r>
    </w:p>
    <w:p>
      <w:pPr>
        <w:spacing w:line="600" w:lineRule="exact"/>
        <w:ind w:firstLine="640" w:firstLineChars="200"/>
        <w:jc w:val="left"/>
        <w:rPr>
          <w:rFonts w:ascii="宋体" w:hAnsi="宋体" w:cs="仿宋"/>
          <w:sz w:val="32"/>
          <w:szCs w:val="32"/>
        </w:rPr>
      </w:pPr>
      <w:r>
        <w:rPr>
          <w:rFonts w:hint="eastAsia" w:ascii="宋体" w:hAnsi="宋体" w:cs="仿宋"/>
          <w:sz w:val="32"/>
          <w:szCs w:val="32"/>
        </w:rPr>
        <w:t>第七条第二款：党的政治建设抓得不实，在重大原则问题上未能同党中央保持一致，贯彻落实党的路线方针政策和执行党中央重大决策部署不力，不遵守重大事项请示报告制度，有令不行、有禁不止，阳奉阴违、欺上瞒下，团团伙伙、拉帮结派问题突出，党内政治生活不严肃不健康，党的政治建设工作责任制落实不到位，造成严重后果或者恶劣影响的；</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典型案例之一：</w:t>
      </w:r>
      <w:r>
        <w:rPr>
          <w:rFonts w:ascii="宋体" w:hAnsi="宋体" w:cs="仿宋"/>
          <w:sz w:val="32"/>
          <w:szCs w:val="32"/>
        </w:rPr>
        <w:t>2018</w:t>
      </w:r>
      <w:r>
        <w:rPr>
          <w:rFonts w:hint="eastAsia" w:ascii="宋体" w:hAnsi="宋体" w:cs="仿宋"/>
          <w:sz w:val="32"/>
          <w:szCs w:val="32"/>
        </w:rPr>
        <w:t>年</w:t>
      </w:r>
      <w:r>
        <w:rPr>
          <w:rFonts w:ascii="宋体" w:hAnsi="宋体" w:cs="仿宋"/>
          <w:sz w:val="32"/>
          <w:szCs w:val="32"/>
        </w:rPr>
        <w:t>2</w:t>
      </w:r>
      <w:r>
        <w:rPr>
          <w:rFonts w:hint="eastAsia" w:ascii="宋体" w:hAnsi="宋体" w:cs="仿宋"/>
          <w:sz w:val="32"/>
          <w:szCs w:val="32"/>
        </w:rPr>
        <w:t>月，中央宣传部原副部长、中央网信办原主任鲁炜严重违纪被开除党籍和公职。在鲁炜的违纪行为中，首要一项便是严重违反政治纪律和政治规矩。据通报，鲁炜阳奉阴违、欺骗中央，目无规矩、肆意妄为，妄议中央，干扰中央巡视，野心膨胀，公器私用，不择手段为个人造势，品行恶劣、匿名诬告他人，拉帮结派、搞“小圈子”。</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第七条第三款：党的思想建设缺失，党性教育特别是理想信念宗旨教育流于形式，意识形态工作责任制落实不到位，造成严重后果或者恶劣影响的；</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典型案例之二：</w:t>
      </w:r>
      <w:r>
        <w:rPr>
          <w:rFonts w:ascii="宋体" w:hAnsi="宋体" w:cs="仿宋"/>
          <w:sz w:val="32"/>
          <w:szCs w:val="32"/>
        </w:rPr>
        <w:t>2018</w:t>
      </w:r>
      <w:r>
        <w:rPr>
          <w:rFonts w:hint="eastAsia" w:ascii="宋体" w:hAnsi="宋体" w:cs="仿宋"/>
          <w:sz w:val="32"/>
          <w:szCs w:val="32"/>
        </w:rPr>
        <w:t>年</w:t>
      </w:r>
      <w:r>
        <w:rPr>
          <w:rFonts w:ascii="宋体" w:hAnsi="宋体" w:cs="仿宋"/>
          <w:sz w:val="32"/>
          <w:szCs w:val="32"/>
        </w:rPr>
        <w:t>10</w:t>
      </w:r>
      <w:r>
        <w:rPr>
          <w:rFonts w:hint="eastAsia" w:ascii="宋体" w:hAnsi="宋体" w:cs="仿宋"/>
          <w:sz w:val="32"/>
          <w:szCs w:val="32"/>
        </w:rPr>
        <w:t>月，在天津滨海高新技术产业开发区某论坛举办过程中，高新区工委宣传部未按照规定对论坛活动履行审批程序，未对主讲人进行严格核查，未对现场进行有效管控，导致出现错误言论，造成恶劣影响。高新区工委巡视员、副书记张世军负责宣传工作，本应严格落实意识形态工作责任制，把好导向、守住阵地、管好队伍，但却重视不够、履职不力，对意识形态阵地失察失管。</w:t>
      </w:r>
      <w:r>
        <w:rPr>
          <w:rFonts w:ascii="宋体" w:hAnsi="宋体" w:cs="仿宋"/>
          <w:sz w:val="32"/>
          <w:szCs w:val="32"/>
        </w:rPr>
        <w:t>2019</w:t>
      </w:r>
      <w:r>
        <w:rPr>
          <w:rFonts w:hint="eastAsia" w:ascii="宋体" w:hAnsi="宋体" w:cs="仿宋"/>
          <w:sz w:val="32"/>
          <w:szCs w:val="32"/>
        </w:rPr>
        <w:t>年</w:t>
      </w:r>
      <w:r>
        <w:rPr>
          <w:rFonts w:ascii="宋体" w:hAnsi="宋体" w:cs="仿宋"/>
          <w:sz w:val="32"/>
          <w:szCs w:val="32"/>
        </w:rPr>
        <w:t>2</w:t>
      </w:r>
      <w:r>
        <w:rPr>
          <w:rFonts w:hint="eastAsia" w:ascii="宋体" w:hAnsi="宋体" w:cs="仿宋"/>
          <w:sz w:val="32"/>
          <w:szCs w:val="32"/>
        </w:rPr>
        <w:t>月，张世军受到党内警告处分。</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第七条第四款：党的组织建设薄弱，党建工作责任制不落实，严重违反民主集中制原则，不执行领导班子议事决策规则，民主生活会、“三会一课”等党的组织生活制度不执行，领导干部报告个人有关事项制度执行不力，党组织软弱涣散，违规选拔任用干部等问题突出，造成恶劣影响的；</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典型案例之三：长江大学新农村发展研究院常务副院长郝勇，违反民主集中制原则，违反议事规则，个人决定重大问题，</w:t>
      </w:r>
      <w:r>
        <w:rPr>
          <w:rFonts w:ascii="宋体" w:hAnsi="宋体" w:cs="仿宋"/>
          <w:sz w:val="32"/>
          <w:szCs w:val="32"/>
        </w:rPr>
        <w:t>2017</w:t>
      </w:r>
      <w:r>
        <w:rPr>
          <w:rFonts w:hint="eastAsia" w:ascii="宋体" w:hAnsi="宋体" w:cs="仿宋"/>
          <w:sz w:val="32"/>
          <w:szCs w:val="32"/>
        </w:rPr>
        <w:t>年</w:t>
      </w:r>
      <w:r>
        <w:rPr>
          <w:rFonts w:ascii="宋体" w:hAnsi="宋体" w:cs="仿宋"/>
          <w:sz w:val="32"/>
          <w:szCs w:val="32"/>
        </w:rPr>
        <w:t>10</w:t>
      </w:r>
      <w:r>
        <w:rPr>
          <w:rFonts w:hint="eastAsia" w:ascii="宋体" w:hAnsi="宋体" w:cs="仿宋"/>
          <w:sz w:val="32"/>
          <w:szCs w:val="32"/>
        </w:rPr>
        <w:t>月长江大学纪委给予党内严重警告处分。</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第七条第五款：党的作风建设松懈，落实中央八项规定及其实施细则精神不力，“四风”问题得不到有效整治，形式主义、官僚主义问题突出，执行党中央决策部署表态多调门高、行动少落实差，脱离实际、脱离群众，拖沓敷衍、推诿扯皮，造成严重后果的；</w:t>
      </w:r>
    </w:p>
    <w:p>
      <w:pPr>
        <w:spacing w:line="600" w:lineRule="exact"/>
        <w:ind w:firstLine="640" w:firstLineChars="200"/>
        <w:jc w:val="left"/>
        <w:rPr>
          <w:rFonts w:ascii="宋体" w:hAnsi="宋体" w:cs="仿宋"/>
          <w:sz w:val="32"/>
          <w:szCs w:val="32"/>
        </w:rPr>
      </w:pPr>
      <w:r>
        <w:rPr>
          <w:rFonts w:hint="eastAsia" w:ascii="宋体" w:hAnsi="宋体" w:cs="仿宋"/>
          <w:sz w:val="32"/>
          <w:szCs w:val="32"/>
        </w:rPr>
        <w:t>典型案例之四：甘肃省委原书记王三运在督查调研祁连山生态保护工作时，每到一地都反复强调环保问题的极端重要性，提起要求来“口号响当当”，但就是没有下文。表面上，王三运摆了姿态，但其实对中央指示消极应付，并没有真正到问题严重的地区去调查研究，也没有认真督促相关部门抓好整改落实，更没有对相关领导干部进行严肃问责。正如王三运自己所言：形式表面的东西，反正该做的批示我也批了，该开的会我开了，至于下面落实不落实，能不能很好落实，也没有加强对各方面的引导和督促。</w:t>
      </w:r>
    </w:p>
    <w:p>
      <w:pPr>
        <w:spacing w:line="600" w:lineRule="exact"/>
        <w:ind w:firstLine="640" w:firstLineChars="200"/>
        <w:jc w:val="left"/>
        <w:rPr>
          <w:rFonts w:hint="eastAsia" w:ascii="宋体" w:hAnsi="宋体" w:cs="仿宋"/>
          <w:sz w:val="32"/>
          <w:szCs w:val="32"/>
        </w:rPr>
      </w:pPr>
      <w:r>
        <w:rPr>
          <w:rFonts w:hint="eastAsia" w:ascii="宋体" w:hAnsi="宋体" w:cs="仿宋"/>
          <w:sz w:val="32"/>
          <w:szCs w:val="32"/>
        </w:rPr>
        <w:t>第七条第六款：党的纪律建设抓得不严，维护党的政治纪律、组织纪律、廉洁纪律、群众纪律、工作纪律、生活纪律不力，导致违规违纪行为多发，造成恶劣影响的；</w:t>
      </w:r>
    </w:p>
    <w:p>
      <w:pPr>
        <w:spacing w:line="600" w:lineRule="exact"/>
        <w:ind w:firstLine="640" w:firstLineChars="200"/>
        <w:jc w:val="left"/>
        <w:rPr>
          <w:rFonts w:ascii="宋体" w:hAnsi="宋体" w:cs="仿宋"/>
          <w:sz w:val="32"/>
          <w:szCs w:val="32"/>
        </w:rPr>
      </w:pPr>
      <w:r>
        <w:rPr>
          <w:rFonts w:hint="eastAsia" w:ascii="宋体" w:hAnsi="宋体" w:cs="仿宋"/>
          <w:sz w:val="32"/>
          <w:szCs w:val="32"/>
        </w:rPr>
        <w:t>典型案例之五：天津市农村工作委员会种植业管理办公室原党委书记项荣，因落实管党治党主体责任不力、本单位违规违纪问题多发频发被问责。</w:t>
      </w:r>
      <w:r>
        <w:rPr>
          <w:rFonts w:ascii="宋体" w:hAnsi="宋体" w:cs="仿宋"/>
          <w:sz w:val="32"/>
          <w:szCs w:val="32"/>
        </w:rPr>
        <w:t>2016</w:t>
      </w:r>
      <w:r>
        <w:rPr>
          <w:rFonts w:hint="eastAsia" w:ascii="宋体" w:hAnsi="宋体" w:cs="仿宋"/>
          <w:sz w:val="32"/>
          <w:szCs w:val="32"/>
        </w:rPr>
        <w:t>年</w:t>
      </w:r>
      <w:r>
        <w:rPr>
          <w:rFonts w:ascii="宋体" w:hAnsi="宋体" w:cs="仿宋"/>
          <w:sz w:val="32"/>
          <w:szCs w:val="32"/>
        </w:rPr>
        <w:t>9</w:t>
      </w:r>
      <w:r>
        <w:rPr>
          <w:rFonts w:hint="eastAsia" w:ascii="宋体" w:hAnsi="宋体" w:cs="仿宋"/>
          <w:sz w:val="32"/>
          <w:szCs w:val="32"/>
        </w:rPr>
        <w:t>月以来，该单位及所属事业单位共有</w:t>
      </w:r>
      <w:r>
        <w:rPr>
          <w:rFonts w:ascii="宋体" w:hAnsi="宋体" w:cs="仿宋"/>
          <w:sz w:val="32"/>
          <w:szCs w:val="32"/>
        </w:rPr>
        <w:t>8</w:t>
      </w:r>
      <w:r>
        <w:rPr>
          <w:rFonts w:hint="eastAsia" w:ascii="宋体" w:hAnsi="宋体" w:cs="仿宋"/>
          <w:sz w:val="32"/>
          <w:szCs w:val="32"/>
        </w:rPr>
        <w:t>名正处级领导干部、</w:t>
      </w:r>
      <w:r>
        <w:rPr>
          <w:rFonts w:ascii="宋体" w:hAnsi="宋体" w:cs="仿宋"/>
          <w:sz w:val="32"/>
          <w:szCs w:val="32"/>
        </w:rPr>
        <w:t>3</w:t>
      </w:r>
      <w:r>
        <w:rPr>
          <w:rFonts w:hint="eastAsia" w:ascii="宋体" w:hAnsi="宋体" w:cs="仿宋"/>
          <w:sz w:val="32"/>
          <w:szCs w:val="32"/>
        </w:rPr>
        <w:t>名副处级干部因违反中央八项规定精神、违反财经纪律等，受到党纪政纪处分和组织处理。项荣作为党委主要负责同志，落实全面从严治党主体责任不力，贯彻党风廉政建设责任制不到位，导致本单位违规违纪问题多发频发，失职失责，被免去党委书记职务。</w:t>
      </w:r>
    </w:p>
    <w:p>
      <w:pPr>
        <w:adjustRightInd w:val="0"/>
        <w:snapToGrid w:val="0"/>
        <w:spacing w:line="600" w:lineRule="exact"/>
        <w:ind w:firstLine="640" w:firstLineChars="200"/>
        <w:jc w:val="left"/>
        <w:rPr>
          <w:rFonts w:ascii="宋体" w:hAnsi="宋体" w:cs="仿宋"/>
          <w:sz w:val="32"/>
          <w:szCs w:val="32"/>
        </w:rPr>
      </w:pPr>
      <w:r>
        <w:rPr>
          <w:rFonts w:hint="eastAsia" w:ascii="宋体" w:hAnsi="宋体" w:cs="仿宋"/>
          <w:sz w:val="32"/>
          <w:szCs w:val="32"/>
        </w:rPr>
        <w:t>第三，体现在进一步规范了问责程序。从</w:t>
      </w:r>
      <w:r>
        <w:rPr>
          <w:rFonts w:ascii="宋体" w:hAnsi="宋体" w:cs="仿宋"/>
          <w:sz w:val="32"/>
          <w:szCs w:val="32"/>
        </w:rPr>
        <w:t>2016</w:t>
      </w:r>
      <w:r>
        <w:rPr>
          <w:rFonts w:hint="eastAsia" w:ascii="宋体" w:hAnsi="宋体" w:cs="仿宋"/>
          <w:sz w:val="32"/>
          <w:szCs w:val="32"/>
        </w:rPr>
        <w:t>年版《问责条例》实施</w:t>
      </w:r>
      <w:r>
        <w:rPr>
          <w:rFonts w:ascii="宋体" w:hAnsi="宋体" w:cs="仿宋"/>
          <w:sz w:val="32"/>
          <w:szCs w:val="32"/>
        </w:rPr>
        <w:t>3</w:t>
      </w:r>
      <w:r>
        <w:rPr>
          <w:rFonts w:hint="eastAsia" w:ascii="宋体" w:hAnsi="宋体" w:cs="仿宋"/>
          <w:sz w:val="32"/>
          <w:szCs w:val="32"/>
        </w:rPr>
        <w:t>年来的实践看，总体是好的，但也出现了问责不规范、问责泛化简单化的问题。针对这些问题， 新《问责条例》就问责程序作出了规定，提高制度化、规范化水平，把问责权力关进制度笼子，实现精准科学问责。</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一是规范问责流程。《问责条例》第九至十条从启动、调查、报告、审批、实施等各个环节对问责工作予以全面规范，规定启动问责调查和作出问责决定应当履行严格的审批程序。</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二是明确问责标准。《问责条例》第十条强调问责要做到事实清楚、证据确凿、依据充分、责任分明、程序合规、处理恰当。</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三是提出具体要求。《问责条例》第十一条规定要依规依纪依法开展调查，问责事实材料应当与调查对象见面，听取其陈述和申辩；调查结束后应当集体研究形成调查报告，综合考虑主客观因素，正确区分不同情况，精准提出处理意见。</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四是强化问责执行。《问责条例》第十三条规定问责决定作出后，应当及时宣布并督促执行，建立健全典型问责问题通报曝光制度，加强督促检查，推动以案促改。</w:t>
      </w:r>
    </w:p>
    <w:p>
      <w:pPr>
        <w:adjustRightInd w:val="0"/>
        <w:snapToGrid w:val="0"/>
        <w:spacing w:line="600" w:lineRule="exact"/>
        <w:ind w:firstLine="640" w:firstLineChars="200"/>
        <w:jc w:val="left"/>
        <w:rPr>
          <w:rFonts w:ascii="宋体" w:hAnsi="宋体" w:cs="仿宋"/>
          <w:sz w:val="32"/>
          <w:szCs w:val="32"/>
        </w:rPr>
      </w:pPr>
      <w:r>
        <w:rPr>
          <w:rFonts w:hint="eastAsia" w:ascii="宋体" w:hAnsi="宋体" w:cs="仿宋"/>
          <w:sz w:val="32"/>
          <w:szCs w:val="32"/>
        </w:rPr>
        <w:t>第四，体现在防止问责泛化。纠正实践中出现的问责泛化、简单化问题，《问责条例》还从两个方面作出有针对性的规定：</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一是分清责任。《问责条例》第三条增加“权责一致、错责相当”</w:t>
      </w:r>
      <w:r>
        <w:rPr>
          <w:rFonts w:ascii="宋体" w:hAnsi="宋体" w:cs="仿宋"/>
          <w:sz w:val="32"/>
          <w:szCs w:val="32"/>
        </w:rPr>
        <w:t xml:space="preserve"> </w:t>
      </w:r>
      <w:r>
        <w:rPr>
          <w:rFonts w:hint="eastAsia" w:ascii="宋体" w:hAnsi="宋体" w:cs="仿宋"/>
          <w:sz w:val="32"/>
          <w:szCs w:val="32"/>
        </w:rPr>
        <w:t>“集体决定、分清责任”等作为问责原则，明确了有多大的权，负多大的责；有多大的错，负多大的责。《问责条例》第五条进一步明确了问责对象是党组织、党的领导干部，重点是党委（党组）、党的工作机关及其领导成员，纪委、纪委派驻（派出）机构及其领导成员。《问责条例》第六条对于党组织领导班子、领导班子主要负责人和直接主管的班子成员、参与决策和工作的班子成员的责任作了进一步划分，分别界定为全面领导责任、主要领导责任和重要领导责任。</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二是纠正机制。针对有的部门在问责实践中存在的只问责不负责、滥用问责、向下推责等问题，《问责条例》第二十条明确了问责对象申诉的权利及程序：问责对象对问责决定不服的，可以自收到问责决定之日起</w:t>
      </w:r>
      <w:r>
        <w:rPr>
          <w:rFonts w:ascii="宋体" w:hAnsi="宋体" w:cs="仿宋"/>
          <w:sz w:val="32"/>
          <w:szCs w:val="32"/>
        </w:rPr>
        <w:t>1</w:t>
      </w:r>
      <w:r>
        <w:rPr>
          <w:rFonts w:hint="eastAsia" w:ascii="宋体" w:hAnsi="宋体" w:cs="仿宋"/>
          <w:sz w:val="32"/>
          <w:szCs w:val="32"/>
        </w:rPr>
        <w:t>个月内，向作出问责决定的党组织提出书面申诉。作出问责决定的党组织接到书面申诉后，应当在</w:t>
      </w:r>
      <w:r>
        <w:rPr>
          <w:rFonts w:ascii="宋体" w:hAnsi="宋体" w:cs="仿宋"/>
          <w:sz w:val="32"/>
          <w:szCs w:val="32"/>
        </w:rPr>
        <w:t>1</w:t>
      </w:r>
      <w:r>
        <w:rPr>
          <w:rFonts w:hint="eastAsia" w:ascii="宋体" w:hAnsi="宋体" w:cs="仿宋"/>
          <w:sz w:val="32"/>
          <w:szCs w:val="32"/>
        </w:rPr>
        <w:t>个月内作出申诉处理决定。《问责条例》第二十一条规定问责决定作出后，发现问责事实认定不清楚、证据不确凿、依据不充分、责任不清晰、程序不合规、处理不恰当或其他不应当问责、不精准问责的，及时予以纠正；对滥用问责或者在问责工作中严重不负责任的严肃追究责任。</w:t>
      </w:r>
    </w:p>
    <w:p>
      <w:pPr>
        <w:adjustRightInd w:val="0"/>
        <w:snapToGrid w:val="0"/>
        <w:spacing w:line="600" w:lineRule="exact"/>
        <w:ind w:firstLine="640" w:firstLineChars="200"/>
        <w:jc w:val="left"/>
        <w:rPr>
          <w:rFonts w:ascii="宋体" w:hAnsi="宋体" w:cs="仿宋"/>
          <w:sz w:val="32"/>
          <w:szCs w:val="32"/>
        </w:rPr>
      </w:pPr>
      <w:r>
        <w:rPr>
          <w:rFonts w:hint="eastAsia" w:ascii="宋体" w:hAnsi="宋体" w:cs="仿宋"/>
          <w:sz w:val="32"/>
          <w:szCs w:val="32"/>
        </w:rPr>
        <w:t>第五，体现在实事求是规定了特殊情形。实施问责的最终目的，是要督促党组织和领导干部强化责任意识，激发担当精神，而不是要束缚干部手脚。新修订的《问责条例》坚持严管和厚爱结合、激励和约束并重，惩前毖后、治病救人，既严肃问责、严格问责，推动责任落实，又规范问责、精准问责，区别情况、体现政策、分类处理。</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一是坚持失责必问、问责必严。该是谁的责任就问谁的责任，该追究到哪一级的责任就追究到哪一级，该问到什么程度就问到什么程度，该采取什么问责方式就采取什么问责方式。《条例》第十六条规定，实行终身问责制，对失职失责性质恶劣、后果严重的，不论其责任人是否调离转岗、提拔或者退休等，都应当严肃问责。</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二是落实“三个区分开来”要求。根据《关于进一步激励广大干部新时代新担当新作为的意见》《关于贯彻习近平总书记重要批示精神</w:t>
      </w:r>
      <w:r>
        <w:rPr>
          <w:rFonts w:ascii="宋体" w:hAnsi="宋体" w:cs="仿宋"/>
          <w:sz w:val="32"/>
          <w:szCs w:val="32"/>
        </w:rPr>
        <w:t xml:space="preserve"> </w:t>
      </w:r>
      <w:r>
        <w:rPr>
          <w:rFonts w:hint="eastAsia" w:ascii="宋体" w:hAnsi="宋体" w:cs="仿宋"/>
          <w:sz w:val="32"/>
          <w:szCs w:val="32"/>
        </w:rPr>
        <w:t>深入落实中央八项规定精神的工作意见》，把“三个区分开来”的要求具体化。《问责条例》第十七条规定，对于在推进改革中因缺乏经验、先行先试出现的失误，尚无明确限制的探索性试验中的失误，为推动发展的无意过失等情形可以不予问责或者免予问责，营造干事创业敢担当的良好氛围。</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坚持严管和厚爱结合，激励和约束并重原则， 规定了从轻减轻问责和从重加重问责的情形，做到宽严相济，正确区分不同情况，精准、恰当问责。《问责条例》第十八条规定，及时采取补救措施，有效挽回损失或者消除不良影响等情形可以从轻或者减轻问责；《问责条例》第十九条规定，对党中央、上级党组织三令五申的指示要求不执行或者执行不力、在接受问责调查和处理中，不如实报告情况，推卸责任，阻扰问责等情形，规定应当从重或者加重问责。</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三是树立鲜明的干事导向。《问责条例》第二十二条规定要正确对待被问责干部，对影响期满、表现好的干部，符合条件的，按照干部选拔任用有关规定正常使用。第十条　党员受到警告处分一年内、受到严重警告处分一年半内，不得在党内提升职务和向党外组织推荐担任高于其原任职务的党外职务。第十一条</w:t>
      </w:r>
      <w:r>
        <w:rPr>
          <w:rFonts w:ascii="宋体" w:hAnsi="宋体" w:cs="仿宋"/>
          <w:sz w:val="32"/>
          <w:szCs w:val="32"/>
        </w:rPr>
        <w:t xml:space="preserve">  </w:t>
      </w:r>
      <w:r>
        <w:rPr>
          <w:rFonts w:hint="eastAsia" w:ascii="宋体" w:hAnsi="宋体" w:cs="仿宋"/>
          <w:sz w:val="32"/>
          <w:szCs w:val="32"/>
        </w:rPr>
        <w:t>党员受到撤销党内职务处分，或者依照前款规定受到严重警告处分的，二年内不得在党内担任和向党外组织推荐担任与其原任职务相当或者高于其原任职务的职务。第十二条</w:t>
      </w:r>
      <w:r>
        <w:rPr>
          <w:rFonts w:ascii="宋体" w:hAnsi="宋体" w:cs="仿宋"/>
          <w:sz w:val="32"/>
          <w:szCs w:val="32"/>
        </w:rPr>
        <w:t xml:space="preserve">  </w:t>
      </w:r>
      <w:r>
        <w:rPr>
          <w:rFonts w:hint="eastAsia" w:ascii="宋体" w:hAnsi="宋体" w:cs="仿宋"/>
          <w:sz w:val="32"/>
          <w:szCs w:val="32"/>
        </w:rPr>
        <w:t>党员受到留党察看处分，其党内职务自然撤销。对于担任党外职务的，应当建议党外组织撤销其党外职务。受到留党察看处分的党员，恢复党员权利后二年内，不得在党内担任和向党外组织推荐担任与其原任职务相当或者高于其原任职务的职务。</w:t>
      </w:r>
      <w:r>
        <w:rPr>
          <w:rFonts w:ascii="宋体" w:hAnsi="宋体" w:cs="仿宋"/>
          <w:sz w:val="32"/>
          <w:szCs w:val="32"/>
        </w:rPr>
        <w:t xml:space="preserve"> </w:t>
      </w:r>
      <w:r>
        <w:rPr>
          <w:rFonts w:hint="eastAsia" w:ascii="宋体" w:hAnsi="宋体" w:cs="仿宋"/>
          <w:sz w:val="32"/>
          <w:szCs w:val="32"/>
        </w:rPr>
        <w:t>第十三条　党员受到开除党籍处分，五年内不得重新入党，也不得推荐担任与其原任职务相当或者高于其原任职务的党外职务。</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总之，《问责条例》通过着力提高党的问责的政治性、精准性、实效性，树立鲜明的干事创业导向，促进各级党组织和领导干部牢记初心使命、勇于担当作为，努力形成建功新时代、争创新业绩的浓厚氛围和生动局面。</w:t>
      </w:r>
    </w:p>
    <w:p>
      <w:pPr>
        <w:adjustRightInd w:val="0"/>
        <w:snapToGrid w:val="0"/>
        <w:spacing w:line="600" w:lineRule="exact"/>
        <w:ind w:firstLine="723" w:firstLineChars="200"/>
        <w:jc w:val="left"/>
        <w:rPr>
          <w:rFonts w:hint="eastAsia" w:ascii="黑体" w:hAnsi="黑体" w:eastAsia="黑体" w:cs="仿宋"/>
          <w:b/>
          <w:sz w:val="36"/>
          <w:szCs w:val="36"/>
        </w:rPr>
      </w:pPr>
      <w:r>
        <w:rPr>
          <w:rFonts w:hint="eastAsia" w:ascii="黑体" w:hAnsi="黑体" w:eastAsia="黑体" w:cs="仿宋"/>
          <w:b/>
          <w:sz w:val="36"/>
          <w:szCs w:val="36"/>
        </w:rPr>
        <w:t>五、以《问责条例》学习为抓手、强化责任担当</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 xml:space="preserve">全面从严治党，加强制度建设是治本，紧抓制度执行是关键。《中国共产党问责条例》进一步规范和强化了党的问责工作，为落实党组织管党治党政治责任、督促党员干部践行忠诚干净担当提供了制度遵循和党纪依据。 </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动员千遍，不如问责一次。只有使问责严起来，才能以强力问责倒逼责任落实，也只有使问责制度化常态化，才能促进党员干部履职到位，才能够进一步强化责任担当。</w:t>
      </w:r>
    </w:p>
    <w:p>
      <w:pPr>
        <w:adjustRightInd w:val="0"/>
        <w:snapToGrid w:val="0"/>
        <w:spacing w:line="600" w:lineRule="exact"/>
        <w:ind w:firstLine="640" w:firstLineChars="200"/>
        <w:rPr>
          <w:rFonts w:ascii="宋体" w:hAnsi="宋体" w:cs="仿宋"/>
          <w:sz w:val="32"/>
          <w:szCs w:val="32"/>
        </w:rPr>
      </w:pPr>
      <w:r>
        <w:rPr>
          <w:rFonts w:hint="eastAsia" w:ascii="宋体" w:hAnsi="宋体" w:cs="仿宋"/>
          <w:sz w:val="32"/>
          <w:szCs w:val="32"/>
        </w:rPr>
        <w:t>新问责条例规定了十一类应当予以问责的情形，每一类都十分具体，给纪法尺子画上了更加清晰的刻度。丰富细化的问责情形，既为问责工作的开展提供了操作性很强的制度遵循，又为党组织、党员干部避免被问责勾勒出鲜明的反例。</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新问责条例实实在在地框定了问责对象，并且指出了重点，抓住了关键少数。我们只有切实把自己摆进去、把职责摆进去、把工作摆进去，要坚持问题导向，以新问责条例的要求为镜鉴，敢于从自身找问题查原因，知责明责，严格依规依纪依法履行职责，才是真正的责任担当。</w:t>
      </w:r>
    </w:p>
    <w:p>
      <w:pPr>
        <w:adjustRightInd w:val="0"/>
        <w:snapToGrid w:val="0"/>
        <w:spacing w:line="600" w:lineRule="exact"/>
        <w:ind w:firstLine="640" w:firstLineChars="200"/>
        <w:rPr>
          <w:rFonts w:hint="eastAsia" w:ascii="宋体" w:hAnsi="宋体" w:cs="仿宋"/>
          <w:sz w:val="32"/>
          <w:szCs w:val="32"/>
        </w:rPr>
      </w:pPr>
      <w:r>
        <w:rPr>
          <w:rFonts w:hint="eastAsia" w:ascii="宋体" w:hAnsi="宋体" w:cs="仿宋"/>
          <w:sz w:val="32"/>
          <w:szCs w:val="32"/>
        </w:rPr>
        <w:t xml:space="preserve"> </w:t>
      </w:r>
    </w:p>
    <w:p>
      <w:pPr>
        <w:adjustRightInd w:val="0"/>
        <w:snapToGrid w:val="0"/>
        <w:spacing w:line="600" w:lineRule="exact"/>
        <w:ind w:firstLine="5760" w:firstLineChars="1800"/>
        <w:rPr>
          <w:rFonts w:hint="eastAsia" w:ascii="宋体" w:hAnsi="宋体" w:cs="仿宋"/>
          <w:sz w:val="32"/>
          <w:szCs w:val="32"/>
        </w:rPr>
      </w:pPr>
      <w:r>
        <w:rPr>
          <w:rFonts w:hint="eastAsia" w:ascii="宋体" w:hAnsi="宋体" w:cs="仿宋"/>
          <w:sz w:val="32"/>
          <w:szCs w:val="32"/>
        </w:rPr>
        <w:t>2019年10月10日</w:t>
      </w:r>
    </w:p>
    <w:p>
      <w:pPr>
        <w:adjustRightInd w:val="0"/>
        <w:snapToGrid w:val="0"/>
        <w:spacing w:line="600" w:lineRule="exact"/>
        <w:ind w:firstLine="5760" w:firstLineChars="1800"/>
        <w:rPr>
          <w:rFonts w:hint="eastAsia" w:ascii="宋体" w:hAnsi="宋体" w:cs="仿宋"/>
          <w:sz w:val="32"/>
          <w:szCs w:val="32"/>
        </w:rPr>
      </w:pPr>
    </w:p>
    <w:p>
      <w:pPr>
        <w:adjustRightInd w:val="0"/>
        <w:snapToGrid w:val="0"/>
        <w:spacing w:line="600" w:lineRule="exact"/>
        <w:ind w:firstLine="5760" w:firstLineChars="1800"/>
        <w:rPr>
          <w:rFonts w:hint="eastAsia" w:ascii="宋体" w:hAnsi="宋体" w:cs="仿宋"/>
          <w:sz w:val="32"/>
          <w:szCs w:val="32"/>
        </w:rPr>
      </w:pPr>
    </w:p>
    <w:p>
      <w:pPr>
        <w:adjustRightInd w:val="0"/>
        <w:snapToGrid w:val="0"/>
        <w:spacing w:line="600" w:lineRule="exact"/>
        <w:ind w:firstLine="5760" w:firstLineChars="1800"/>
        <w:rPr>
          <w:rFonts w:hint="eastAsia" w:ascii="宋体" w:hAnsi="宋体" w:cs="仿宋"/>
          <w:sz w:val="32"/>
          <w:szCs w:val="32"/>
        </w:rPr>
      </w:pPr>
    </w:p>
    <w:p>
      <w:pPr>
        <w:adjustRightInd w:val="0"/>
        <w:snapToGrid w:val="0"/>
        <w:spacing w:line="600" w:lineRule="exact"/>
        <w:ind w:firstLine="5760" w:firstLineChars="1800"/>
        <w:rPr>
          <w:rFonts w:hint="eastAsia" w:ascii="宋体" w:hAnsi="宋体" w:cs="仿宋"/>
          <w:sz w:val="32"/>
          <w:szCs w:val="32"/>
        </w:rPr>
      </w:pPr>
    </w:p>
    <w:p>
      <w:pPr>
        <w:ind w:left="0" w:leftChars="0" w:firstLine="0" w:firstLineChars="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89" name="图片 89" descr="李平衡：（讲党课、讲座）科研项目申请书撰写经验分享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李平衡：（讲党课、讲座）科研项目申请书撰写经验分享_页面_01"/>
                    <pic:cNvPicPr>
                      <a:picLocks noChangeAspect="1"/>
                    </pic:cNvPicPr>
                  </pic:nvPicPr>
                  <pic:blipFill>
                    <a:blip r:embed="rId7"/>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8" name="图片 88" descr="李平衡：（讲党课、讲座）科研项目申请书撰写经验分享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李平衡：（讲党课、讲座）科研项目申请书撰写经验分享_页面_02"/>
                    <pic:cNvPicPr>
                      <a:picLocks noChangeAspect="1"/>
                    </pic:cNvPicPr>
                  </pic:nvPicPr>
                  <pic:blipFill>
                    <a:blip r:embed="rId8"/>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7" name="图片 87" descr="李平衡：（讲党课、讲座）科研项目申请书撰写经验分享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李平衡：（讲党课、讲座）科研项目申请书撰写经验分享_页面_03"/>
                    <pic:cNvPicPr>
                      <a:picLocks noChangeAspect="1"/>
                    </pic:cNvPicPr>
                  </pic:nvPicPr>
                  <pic:blipFill>
                    <a:blip r:embed="rId9"/>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86" name="图片 86" descr="李平衡：（讲党课、讲座）科研项目申请书撰写经验分享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李平衡：（讲党课、讲座）科研项目申请书撰写经验分享_页面_04"/>
                    <pic:cNvPicPr>
                      <a:picLocks noChangeAspect="1"/>
                    </pic:cNvPicPr>
                  </pic:nvPicPr>
                  <pic:blipFill>
                    <a:blip r:embed="rId10"/>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5" name="图片 85" descr="李平衡：（讲党课、讲座）科研项目申请书撰写经验分享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李平衡：（讲党课、讲座）科研项目申请书撰写经验分享_页面_05"/>
                    <pic:cNvPicPr>
                      <a:picLocks noChangeAspect="1"/>
                    </pic:cNvPicPr>
                  </pic:nvPicPr>
                  <pic:blipFill>
                    <a:blip r:embed="rId11"/>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4" name="图片 84" descr="李平衡：（讲党课、讲座）科研项目申请书撰写经验分享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李平衡：（讲党课、讲座）科研项目申请书撰写经验分享_页面_06"/>
                    <pic:cNvPicPr>
                      <a:picLocks noChangeAspect="1"/>
                    </pic:cNvPicPr>
                  </pic:nvPicPr>
                  <pic:blipFill>
                    <a:blip r:embed="rId12"/>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3" name="图片 83" descr="李平衡：（讲党课、讲座）科研项目申请书撰写经验分享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李平衡：（讲党课、讲座）科研项目申请书撰写经验分享_页面_07"/>
                    <pic:cNvPicPr>
                      <a:picLocks noChangeAspect="1"/>
                    </pic:cNvPicPr>
                  </pic:nvPicPr>
                  <pic:blipFill>
                    <a:blip r:embed="rId13"/>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2" name="图片 82" descr="李平衡：（讲党课、讲座）科研项目申请书撰写经验分享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李平衡：（讲党课、讲座）科研项目申请书撰写经验分享_页面_08"/>
                    <pic:cNvPicPr>
                      <a:picLocks noChangeAspect="1"/>
                    </pic:cNvPicPr>
                  </pic:nvPicPr>
                  <pic:blipFill>
                    <a:blip r:embed="rId14"/>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1" name="图片 81" descr="李平衡：（讲党课、讲座）科研项目申请书撰写经验分享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李平衡：（讲党课、讲座）科研项目申请书撰写经验分享_页面_09"/>
                    <pic:cNvPicPr>
                      <a:picLocks noChangeAspect="1"/>
                    </pic:cNvPicPr>
                  </pic:nvPicPr>
                  <pic:blipFill>
                    <a:blip r:embed="rId15"/>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80" name="图片 80" descr="李平衡：（讲党课、讲座）科研项目申请书撰写经验分享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李平衡：（讲党课、讲座）科研项目申请书撰写经验分享_页面_10"/>
                    <pic:cNvPicPr>
                      <a:picLocks noChangeAspect="1"/>
                    </pic:cNvPicPr>
                  </pic:nvPicPr>
                  <pic:blipFill>
                    <a:blip r:embed="rId16"/>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9" name="图片 79" descr="李平衡：（讲党课、讲座）科研项目申请书撰写经验分享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李平衡：（讲党课、讲座）科研项目申请书撰写经验分享_页面_11"/>
                    <pic:cNvPicPr>
                      <a:picLocks noChangeAspect="1"/>
                    </pic:cNvPicPr>
                  </pic:nvPicPr>
                  <pic:blipFill>
                    <a:blip r:embed="rId17"/>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8" name="图片 78" descr="李平衡：（讲党课、讲座）科研项目申请书撰写经验分享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李平衡：（讲党课、讲座）科研项目申请书撰写经验分享_页面_12"/>
                    <pic:cNvPicPr>
                      <a:picLocks noChangeAspect="1"/>
                    </pic:cNvPicPr>
                  </pic:nvPicPr>
                  <pic:blipFill>
                    <a:blip r:embed="rId18"/>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7" name="图片 77" descr="李平衡：（讲党课、讲座）科研项目申请书撰写经验分享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李平衡：（讲党课、讲座）科研项目申请书撰写经验分享_页面_13"/>
                    <pic:cNvPicPr>
                      <a:picLocks noChangeAspect="1"/>
                    </pic:cNvPicPr>
                  </pic:nvPicPr>
                  <pic:blipFill>
                    <a:blip r:embed="rId19"/>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6" name="图片 76" descr="李平衡：（讲党课、讲座）科研项目申请书撰写经验分享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李平衡：（讲党课、讲座）科研项目申请书撰写经验分享_页面_14"/>
                    <pic:cNvPicPr>
                      <a:picLocks noChangeAspect="1"/>
                    </pic:cNvPicPr>
                  </pic:nvPicPr>
                  <pic:blipFill>
                    <a:blip r:embed="rId20"/>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5" name="图片 75" descr="李平衡：（讲党课、讲座）科研项目申请书撰写经验分享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李平衡：（讲党课、讲座）科研项目申请书撰写经验分享_页面_15"/>
                    <pic:cNvPicPr>
                      <a:picLocks noChangeAspect="1"/>
                    </pic:cNvPicPr>
                  </pic:nvPicPr>
                  <pic:blipFill>
                    <a:blip r:embed="rId21"/>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4" name="图片 74" descr="李平衡：（讲党课、讲座）科研项目申请书撰写经验分享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李平衡：（讲党课、讲座）科研项目申请书撰写经验分享_页面_16"/>
                    <pic:cNvPicPr>
                      <a:picLocks noChangeAspect="1"/>
                    </pic:cNvPicPr>
                  </pic:nvPicPr>
                  <pic:blipFill>
                    <a:blip r:embed="rId22"/>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73" name="图片 73" descr="李平衡：（讲党课、讲座）科研项目申请书撰写经验分享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李平衡：（讲党课、讲座）科研项目申请书撰写经验分享_页面_17"/>
                    <pic:cNvPicPr>
                      <a:picLocks noChangeAspect="1"/>
                    </pic:cNvPicPr>
                  </pic:nvPicPr>
                  <pic:blipFill>
                    <a:blip r:embed="rId23"/>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2" name="图片 72" descr="李平衡：（讲党课、讲座）科研项目申请书撰写经验分享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李平衡：（讲党课、讲座）科研项目申请书撰写经验分享_页面_18"/>
                    <pic:cNvPicPr>
                      <a:picLocks noChangeAspect="1"/>
                    </pic:cNvPicPr>
                  </pic:nvPicPr>
                  <pic:blipFill>
                    <a:blip r:embed="rId24"/>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71" name="图片 71" descr="李平衡：（讲党课、讲座）科研项目申请书撰写经验分享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李平衡：（讲党课、讲座）科研项目申请书撰写经验分享_页面_19"/>
                    <pic:cNvPicPr>
                      <a:picLocks noChangeAspect="1"/>
                    </pic:cNvPicPr>
                  </pic:nvPicPr>
                  <pic:blipFill>
                    <a:blip r:embed="rId25"/>
                    <a:stretch>
                      <a:fillRect/>
                    </a:stretch>
                  </pic:blipFill>
                  <pic:spPr>
                    <a:xfrm>
                      <a:off x="0" y="0"/>
                      <a:ext cx="5760720" cy="4320540"/>
                    </a:xfrm>
                    <a:prstGeom prst="rect">
                      <a:avLst/>
                    </a:prstGeom>
                  </pic:spPr>
                </pic:pic>
              </a:graphicData>
            </a:graphic>
          </wp:inline>
        </w:drawing>
      </w:r>
    </w:p>
    <w:p>
      <w:pPr>
        <w:rPr>
          <w:rFonts w:hint="eastAsia" w:ascii="仿宋_GB2312" w:hAnsi="仿宋_GB2312" w:eastAsia="仿宋_GB2312" w:cs="仿宋_GB2312"/>
          <w:sz w:val="32"/>
          <w:szCs w:val="32"/>
          <w:lang w:eastAsia="zh-CN"/>
        </w:rPr>
        <w:sectPr>
          <w:footerReference r:id="rId3" w:type="default"/>
          <w:pgSz w:w="11906" w:h="16838"/>
          <w:pgMar w:top="1304" w:right="1417" w:bottom="1440" w:left="1417" w:header="851" w:footer="992" w:gutter="0"/>
          <w:pgNumType w:fmt="decimal"/>
          <w:cols w:space="425" w:num="1"/>
          <w:docGrid w:type="lines" w:linePitch="312" w:charSpace="0"/>
        </w:sect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5640" cy="3237865"/>
            <wp:effectExtent l="0" t="0" r="16510" b="635"/>
            <wp:docPr id="103" name="图片 103" descr="王阳：（讲党课、讲座）红旗渠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王阳：（讲党课、讲座）红旗渠_页面_01"/>
                    <pic:cNvPicPr>
                      <a:picLocks noChangeAspect="1"/>
                    </pic:cNvPicPr>
                  </pic:nvPicPr>
                  <pic:blipFill>
                    <a:blip r:embed="rId26"/>
                    <a:stretch>
                      <a:fillRect/>
                    </a:stretch>
                  </pic:blipFill>
                  <pic:spPr>
                    <a:xfrm>
                      <a:off x="0" y="0"/>
                      <a:ext cx="5755640" cy="323786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102" name="图片 102" descr="王阳：（讲党课、讲座）红旗渠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王阳：（讲党课、讲座）红旗渠_页面_02"/>
                    <pic:cNvPicPr>
                      <a:picLocks noChangeAspect="1"/>
                    </pic:cNvPicPr>
                  </pic:nvPicPr>
                  <pic:blipFill>
                    <a:blip r:embed="rId27"/>
                    <a:stretch>
                      <a:fillRect/>
                    </a:stretch>
                  </pic:blipFill>
                  <pic:spPr>
                    <a:xfrm>
                      <a:off x="0" y="0"/>
                      <a:ext cx="5755005" cy="323723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5640" cy="3238500"/>
            <wp:effectExtent l="0" t="0" r="16510" b="0"/>
            <wp:docPr id="101" name="图片 101" descr="王阳：（讲党课、讲座）红旗渠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王阳：（讲党课、讲座）红旗渠_页面_03"/>
                    <pic:cNvPicPr>
                      <a:picLocks noChangeAspect="1"/>
                    </pic:cNvPicPr>
                  </pic:nvPicPr>
                  <pic:blipFill>
                    <a:blip r:embed="rId28"/>
                    <a:stretch>
                      <a:fillRect/>
                    </a:stretch>
                  </pic:blipFill>
                  <pic:spPr>
                    <a:xfrm>
                      <a:off x="0" y="0"/>
                      <a:ext cx="5755640" cy="323850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100" name="图片 100" descr="王阳：（讲党课、讲座）红旗渠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王阳：（讲党课、讲座）红旗渠_页面_04"/>
                    <pic:cNvPicPr>
                      <a:picLocks noChangeAspect="1"/>
                    </pic:cNvPicPr>
                  </pic:nvPicPr>
                  <pic:blipFill>
                    <a:blip r:embed="rId29"/>
                    <a:stretch>
                      <a:fillRect/>
                    </a:stretch>
                  </pic:blipFill>
                  <pic:spPr>
                    <a:xfrm>
                      <a:off x="0" y="0"/>
                      <a:ext cx="5755005" cy="323723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5640" cy="3237230"/>
            <wp:effectExtent l="0" t="0" r="16510" b="1270"/>
            <wp:docPr id="99" name="图片 99" descr="王阳：（讲党课、讲座）红旗渠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王阳：（讲党课、讲座）红旗渠_页面_05"/>
                    <pic:cNvPicPr>
                      <a:picLocks noChangeAspect="1"/>
                    </pic:cNvPicPr>
                  </pic:nvPicPr>
                  <pic:blipFill>
                    <a:blip r:embed="rId30"/>
                    <a:stretch>
                      <a:fillRect/>
                    </a:stretch>
                  </pic:blipFill>
                  <pic:spPr>
                    <a:xfrm>
                      <a:off x="0" y="0"/>
                      <a:ext cx="5755640" cy="323723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98" name="图片 98" descr="王阳：（讲党课、讲座）红旗渠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王阳：（讲党课、讲座）红旗渠_页面_06"/>
                    <pic:cNvPicPr>
                      <a:picLocks noChangeAspect="1"/>
                    </pic:cNvPicPr>
                  </pic:nvPicPr>
                  <pic:blipFill>
                    <a:blip r:embed="rId31"/>
                    <a:stretch>
                      <a:fillRect/>
                    </a:stretch>
                  </pic:blipFill>
                  <pic:spPr>
                    <a:xfrm>
                      <a:off x="0" y="0"/>
                      <a:ext cx="5755005" cy="323723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4370" cy="3237230"/>
            <wp:effectExtent l="0" t="0" r="17780" b="1270"/>
            <wp:docPr id="97" name="图片 97" descr="王阳：（讲党课、讲座）红旗渠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王阳：（讲党课、讲座）红旗渠_页面_07"/>
                    <pic:cNvPicPr>
                      <a:picLocks noChangeAspect="1"/>
                    </pic:cNvPicPr>
                  </pic:nvPicPr>
                  <pic:blipFill>
                    <a:blip r:embed="rId32"/>
                    <a:stretch>
                      <a:fillRect/>
                    </a:stretch>
                  </pic:blipFill>
                  <pic:spPr>
                    <a:xfrm>
                      <a:off x="0" y="0"/>
                      <a:ext cx="5754370" cy="323723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6275" cy="3239135"/>
            <wp:effectExtent l="0" t="0" r="15875" b="18415"/>
            <wp:docPr id="96" name="图片 96" descr="王阳：（讲党课、讲座）红旗渠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王阳：（讲党课、讲座）红旗渠_页面_08"/>
                    <pic:cNvPicPr>
                      <a:picLocks noChangeAspect="1"/>
                    </pic:cNvPicPr>
                  </pic:nvPicPr>
                  <pic:blipFill>
                    <a:blip r:embed="rId33"/>
                    <a:stretch>
                      <a:fillRect/>
                    </a:stretch>
                  </pic:blipFill>
                  <pic:spPr>
                    <a:xfrm>
                      <a:off x="0" y="0"/>
                      <a:ext cx="5756275" cy="323913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7545" cy="3237230"/>
            <wp:effectExtent l="0" t="0" r="14605" b="1270"/>
            <wp:docPr id="95" name="图片 95" descr="王阳：（讲党课、讲座）红旗渠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王阳：（讲党课、讲座）红旗渠_页面_09"/>
                    <pic:cNvPicPr>
                      <a:picLocks noChangeAspect="1"/>
                    </pic:cNvPicPr>
                  </pic:nvPicPr>
                  <pic:blipFill>
                    <a:blip r:embed="rId34"/>
                    <a:stretch>
                      <a:fillRect/>
                    </a:stretch>
                  </pic:blipFill>
                  <pic:spPr>
                    <a:xfrm>
                      <a:off x="0" y="0"/>
                      <a:ext cx="5757545" cy="323723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4370" cy="3237230"/>
            <wp:effectExtent l="0" t="0" r="17780" b="1270"/>
            <wp:docPr id="94" name="图片 94" descr="王阳：（讲党课、讲座）红旗渠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王阳：（讲党课、讲座）红旗渠_页面_10"/>
                    <pic:cNvPicPr>
                      <a:picLocks noChangeAspect="1"/>
                    </pic:cNvPicPr>
                  </pic:nvPicPr>
                  <pic:blipFill>
                    <a:blip r:embed="rId35"/>
                    <a:stretch>
                      <a:fillRect/>
                    </a:stretch>
                  </pic:blipFill>
                  <pic:spPr>
                    <a:xfrm>
                      <a:off x="0" y="0"/>
                      <a:ext cx="5754370" cy="323723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93" name="图片 93" descr="王阳：（讲党课、讲座）红旗渠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王阳：（讲党课、讲座）红旗渠_页面_11"/>
                    <pic:cNvPicPr>
                      <a:picLocks noChangeAspect="1"/>
                    </pic:cNvPicPr>
                  </pic:nvPicPr>
                  <pic:blipFill>
                    <a:blip r:embed="rId36"/>
                    <a:stretch>
                      <a:fillRect/>
                    </a:stretch>
                  </pic:blipFill>
                  <pic:spPr>
                    <a:xfrm>
                      <a:off x="0" y="0"/>
                      <a:ext cx="5755005" cy="323723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92" name="图片 92" descr="王阳：（讲党课、讲座）红旗渠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王阳：（讲党课、讲座）红旗渠_页面_12"/>
                    <pic:cNvPicPr>
                      <a:picLocks noChangeAspect="1"/>
                    </pic:cNvPicPr>
                  </pic:nvPicPr>
                  <pic:blipFill>
                    <a:blip r:embed="rId37"/>
                    <a:stretch>
                      <a:fillRect/>
                    </a:stretch>
                  </pic:blipFill>
                  <pic:spPr>
                    <a:xfrm>
                      <a:off x="0" y="0"/>
                      <a:ext cx="5755005" cy="323723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55005" cy="3237230"/>
            <wp:effectExtent l="0" t="0" r="17145" b="1270"/>
            <wp:docPr id="91" name="图片 91" descr="王阳：（讲党课、讲座）红旗渠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王阳：（讲党课、讲座）红旗渠_页面_13"/>
                    <pic:cNvPicPr>
                      <a:picLocks noChangeAspect="1"/>
                    </pic:cNvPicPr>
                  </pic:nvPicPr>
                  <pic:blipFill>
                    <a:blip r:embed="rId38"/>
                    <a:stretch>
                      <a:fillRect/>
                    </a:stretch>
                  </pic:blipFill>
                  <pic:spPr>
                    <a:xfrm>
                      <a:off x="0" y="0"/>
                      <a:ext cx="5755005" cy="3237230"/>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23" name="图片 123" descr="周一萍：2019不忘初心牢记使命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周一萍：2019不忘初心牢记使命_页面_01"/>
                    <pic:cNvPicPr>
                      <a:picLocks noChangeAspect="1"/>
                    </pic:cNvPicPr>
                  </pic:nvPicPr>
                  <pic:blipFill>
                    <a:blip r:embed="rId39"/>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22" name="图片 122" descr="周一萍：2019不忘初心牢记使命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周一萍：2019不忘初心牢记使命_页面_02"/>
                    <pic:cNvPicPr>
                      <a:picLocks noChangeAspect="1"/>
                    </pic:cNvPicPr>
                  </pic:nvPicPr>
                  <pic:blipFill>
                    <a:blip r:embed="rId40"/>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21" name="图片 121" descr="周一萍：2019不忘初心牢记使命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周一萍：2019不忘初心牢记使命_页面_03"/>
                    <pic:cNvPicPr>
                      <a:picLocks noChangeAspect="1"/>
                    </pic:cNvPicPr>
                  </pic:nvPicPr>
                  <pic:blipFill>
                    <a:blip r:embed="rId41"/>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20" name="图片 120" descr="周一萍：2019不忘初心牢记使命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周一萍：2019不忘初心牢记使命_页面_04"/>
                    <pic:cNvPicPr>
                      <a:picLocks noChangeAspect="1"/>
                    </pic:cNvPicPr>
                  </pic:nvPicPr>
                  <pic:blipFill>
                    <a:blip r:embed="rId42"/>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9" name="图片 119" descr="周一萍：2019不忘初心牢记使命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周一萍：2019不忘初心牢记使命_页面_05"/>
                    <pic:cNvPicPr>
                      <a:picLocks noChangeAspect="1"/>
                    </pic:cNvPicPr>
                  </pic:nvPicPr>
                  <pic:blipFill>
                    <a:blip r:embed="rId43"/>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8" name="图片 118" descr="周一萍：2019不忘初心牢记使命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周一萍：2019不忘初心牢记使命_页面_06"/>
                    <pic:cNvPicPr>
                      <a:picLocks noChangeAspect="1"/>
                    </pic:cNvPicPr>
                  </pic:nvPicPr>
                  <pic:blipFill>
                    <a:blip r:embed="rId44"/>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7" name="图片 117" descr="周一萍：2019不忘初心牢记使命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周一萍：2019不忘初心牢记使命_页面_07"/>
                    <pic:cNvPicPr>
                      <a:picLocks noChangeAspect="1"/>
                    </pic:cNvPicPr>
                  </pic:nvPicPr>
                  <pic:blipFill>
                    <a:blip r:embed="rId45"/>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6" name="图片 116" descr="周一萍：2019不忘初心牢记使命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周一萍：2019不忘初心牢记使命_页面_08"/>
                    <pic:cNvPicPr>
                      <a:picLocks noChangeAspect="1"/>
                    </pic:cNvPicPr>
                  </pic:nvPicPr>
                  <pic:blipFill>
                    <a:blip r:embed="rId46"/>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5" name="图片 115" descr="周一萍：2019不忘初心牢记使命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周一萍：2019不忘初心牢记使命_页面_09"/>
                    <pic:cNvPicPr>
                      <a:picLocks noChangeAspect="1"/>
                    </pic:cNvPicPr>
                  </pic:nvPicPr>
                  <pic:blipFill>
                    <a:blip r:embed="rId47"/>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4" name="图片 114" descr="周一萍：2019不忘初心牢记使命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周一萍：2019不忘初心牢记使命_页面_10"/>
                    <pic:cNvPicPr>
                      <a:picLocks noChangeAspect="1"/>
                    </pic:cNvPicPr>
                  </pic:nvPicPr>
                  <pic:blipFill>
                    <a:blip r:embed="rId48"/>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3" name="图片 113" descr="周一萍：2019不忘初心牢记使命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周一萍：2019不忘初心牢记使命_页面_11"/>
                    <pic:cNvPicPr>
                      <a:picLocks noChangeAspect="1"/>
                    </pic:cNvPicPr>
                  </pic:nvPicPr>
                  <pic:blipFill>
                    <a:blip r:embed="rId49"/>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2" name="图片 112" descr="周一萍：2019不忘初心牢记使命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周一萍：2019不忘初心牢记使命_页面_12"/>
                    <pic:cNvPicPr>
                      <a:picLocks noChangeAspect="1"/>
                    </pic:cNvPicPr>
                  </pic:nvPicPr>
                  <pic:blipFill>
                    <a:blip r:embed="rId50"/>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1" name="图片 111" descr="周一萍：2019不忘初心牢记使命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周一萍：2019不忘初心牢记使命_页面_13"/>
                    <pic:cNvPicPr>
                      <a:picLocks noChangeAspect="1"/>
                    </pic:cNvPicPr>
                  </pic:nvPicPr>
                  <pic:blipFill>
                    <a:blip r:embed="rId51"/>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10" name="图片 110" descr="周一萍：2019不忘初心牢记使命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周一萍：2019不忘初心牢记使命_页面_14"/>
                    <pic:cNvPicPr>
                      <a:picLocks noChangeAspect="1"/>
                    </pic:cNvPicPr>
                  </pic:nvPicPr>
                  <pic:blipFill>
                    <a:blip r:embed="rId52"/>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09" name="图片 109" descr="周一萍：2019不忘初心牢记使命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周一萍：2019不忘初心牢记使命_页面_15"/>
                    <pic:cNvPicPr>
                      <a:picLocks noChangeAspect="1"/>
                    </pic:cNvPicPr>
                  </pic:nvPicPr>
                  <pic:blipFill>
                    <a:blip r:embed="rId53"/>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08" name="图片 108" descr="周一萍：2019不忘初心牢记使命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周一萍：2019不忘初心牢记使命_页面_16"/>
                    <pic:cNvPicPr>
                      <a:picLocks noChangeAspect="1"/>
                    </pic:cNvPicPr>
                  </pic:nvPicPr>
                  <pic:blipFill>
                    <a:blip r:embed="rId54"/>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07" name="图片 107" descr="周一萍：2019不忘初心牢记使命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周一萍：2019不忘初心牢记使命_页面_17"/>
                    <pic:cNvPicPr>
                      <a:picLocks noChangeAspect="1"/>
                    </pic:cNvPicPr>
                  </pic:nvPicPr>
                  <pic:blipFill>
                    <a:blip r:embed="rId55"/>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06" name="图片 106" descr="周一萍：2019不忘初心牢记使命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周一萍：2019不忘初心牢记使命_页面_18"/>
                    <pic:cNvPicPr>
                      <a:picLocks noChangeAspect="1"/>
                    </pic:cNvPicPr>
                  </pic:nvPicPr>
                  <pic:blipFill>
                    <a:blip r:embed="rId56"/>
                    <a:stretch>
                      <a:fillRect/>
                    </a:stretch>
                  </pic:blipFill>
                  <pic:spPr>
                    <a:xfrm>
                      <a:off x="0" y="0"/>
                      <a:ext cx="5760720" cy="324040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3240405"/>
            <wp:effectExtent l="0" t="0" r="11430" b="17145"/>
            <wp:docPr id="105" name="图片 105" descr="周一萍：2019不忘初心牢记使命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周一萍：2019不忘初心牢记使命_页面_19"/>
                    <pic:cNvPicPr>
                      <a:picLocks noChangeAspect="1"/>
                    </pic:cNvPicPr>
                  </pic:nvPicPr>
                  <pic:blipFill>
                    <a:blip r:embed="rId57"/>
                    <a:stretch>
                      <a:fillRect/>
                    </a:stretch>
                  </pic:blipFill>
                  <pic:spPr>
                    <a:xfrm>
                      <a:off x="0" y="0"/>
                      <a:ext cx="5760720" cy="3240405"/>
                    </a:xfrm>
                    <a:prstGeom prst="rect">
                      <a:avLst/>
                    </a:prstGeom>
                  </pic:spPr>
                </pic:pic>
              </a:graphicData>
            </a:graphic>
          </wp:inline>
        </w:drawing>
      </w:r>
    </w:p>
    <w:p>
      <w:pPr>
        <w:rPr>
          <w:rFonts w:hint="eastAsia" w:ascii="仿宋_GB2312" w:hAnsi="仿宋_GB2312" w:eastAsia="仿宋_GB2312" w:cs="仿宋_GB2312"/>
          <w:sz w:val="32"/>
          <w:szCs w:val="32"/>
          <w:lang w:eastAsia="zh-CN"/>
        </w:rPr>
        <w:sectPr>
          <w:pgSz w:w="11906" w:h="16838"/>
          <w:pgMar w:top="1984" w:right="1417" w:bottom="1440" w:left="1417" w:header="851" w:footer="992" w:gutter="0"/>
          <w:pgNumType w:fmt="decimal"/>
          <w:cols w:space="425" w:num="1"/>
          <w:docGrid w:type="lines" w:linePitch="312" w:charSpace="0"/>
        </w:sectPr>
      </w:pPr>
      <w:r>
        <w:rPr>
          <w:rFonts w:hint="eastAsia" w:ascii="仿宋_GB2312" w:hAnsi="仿宋_GB2312" w:eastAsia="仿宋_GB2312" w:cs="仿宋_GB2312"/>
          <w:sz w:val="32"/>
          <w:szCs w:val="32"/>
          <w:lang w:eastAsia="zh-CN"/>
        </w:rPr>
        <w:br w:type="page"/>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58" name="图片 158" descr="李享：英雄土地 伟大人民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李享：英雄土地 伟大人民_页面_01"/>
                    <pic:cNvPicPr>
                      <a:picLocks noChangeAspect="1"/>
                    </pic:cNvPicPr>
                  </pic:nvPicPr>
                  <pic:blipFill>
                    <a:blip r:embed="rId58"/>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7" name="图片 157" descr="李享：英雄土地 伟大人民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李享：英雄土地 伟大人民_页面_02"/>
                    <pic:cNvPicPr>
                      <a:picLocks noChangeAspect="1"/>
                    </pic:cNvPicPr>
                  </pic:nvPicPr>
                  <pic:blipFill>
                    <a:blip r:embed="rId59"/>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56" name="图片 156" descr="李享：英雄土地 伟大人民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李享：英雄土地 伟大人民_页面_03"/>
                    <pic:cNvPicPr>
                      <a:picLocks noChangeAspect="1"/>
                    </pic:cNvPicPr>
                  </pic:nvPicPr>
                  <pic:blipFill>
                    <a:blip r:embed="rId60"/>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55" name="图片 155" descr="李享：英雄土地 伟大人民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李享：英雄土地 伟大人民_页面_04"/>
                    <pic:cNvPicPr>
                      <a:picLocks noChangeAspect="1"/>
                    </pic:cNvPicPr>
                  </pic:nvPicPr>
                  <pic:blipFill>
                    <a:blip r:embed="rId61"/>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4" name="图片 154" descr="李享：英雄土地 伟大人民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李享：英雄土地 伟大人民_页面_05"/>
                    <pic:cNvPicPr>
                      <a:picLocks noChangeAspect="1"/>
                    </pic:cNvPicPr>
                  </pic:nvPicPr>
                  <pic:blipFill>
                    <a:blip r:embed="rId62"/>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3" name="图片 153" descr="李享：英雄土地 伟大人民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李享：英雄土地 伟大人民_页面_06"/>
                    <pic:cNvPicPr>
                      <a:picLocks noChangeAspect="1"/>
                    </pic:cNvPicPr>
                  </pic:nvPicPr>
                  <pic:blipFill>
                    <a:blip r:embed="rId63"/>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2" name="图片 152" descr="李享：英雄土地 伟大人民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李享：英雄土地 伟大人民_页面_07"/>
                    <pic:cNvPicPr>
                      <a:picLocks noChangeAspect="1"/>
                    </pic:cNvPicPr>
                  </pic:nvPicPr>
                  <pic:blipFill>
                    <a:blip r:embed="rId64"/>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1" name="图片 151" descr="李享：英雄土地 伟大人民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李享：英雄土地 伟大人民_页面_08"/>
                    <pic:cNvPicPr>
                      <a:picLocks noChangeAspect="1"/>
                    </pic:cNvPicPr>
                  </pic:nvPicPr>
                  <pic:blipFill>
                    <a:blip r:embed="rId65"/>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50" name="图片 150" descr="李享：英雄土地 伟大人民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李享：英雄土地 伟大人民_页面_09"/>
                    <pic:cNvPicPr>
                      <a:picLocks noChangeAspect="1"/>
                    </pic:cNvPicPr>
                  </pic:nvPicPr>
                  <pic:blipFill>
                    <a:blip r:embed="rId66"/>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9" name="图片 149" descr="李享：英雄土地 伟大人民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李享：英雄土地 伟大人民_页面_10"/>
                    <pic:cNvPicPr>
                      <a:picLocks noChangeAspect="1"/>
                    </pic:cNvPicPr>
                  </pic:nvPicPr>
                  <pic:blipFill>
                    <a:blip r:embed="rId67"/>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8" name="图片 148" descr="李享：英雄土地 伟大人民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李享：英雄土地 伟大人民_页面_11"/>
                    <pic:cNvPicPr>
                      <a:picLocks noChangeAspect="1"/>
                    </pic:cNvPicPr>
                  </pic:nvPicPr>
                  <pic:blipFill>
                    <a:blip r:embed="rId68"/>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47" name="图片 147" descr="李享：英雄土地 伟大人民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李享：英雄土地 伟大人民_页面_12"/>
                    <pic:cNvPicPr>
                      <a:picLocks noChangeAspect="1"/>
                    </pic:cNvPicPr>
                  </pic:nvPicPr>
                  <pic:blipFill>
                    <a:blip r:embed="rId69"/>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46" name="图片 146" descr="李享：英雄土地 伟大人民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李享：英雄土地 伟大人民_页面_13"/>
                    <pic:cNvPicPr>
                      <a:picLocks noChangeAspect="1"/>
                    </pic:cNvPicPr>
                  </pic:nvPicPr>
                  <pic:blipFill>
                    <a:blip r:embed="rId70"/>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5" name="图片 145" descr="李享：英雄土地 伟大人民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李享：英雄土地 伟大人民_页面_14"/>
                    <pic:cNvPicPr>
                      <a:picLocks noChangeAspect="1"/>
                    </pic:cNvPicPr>
                  </pic:nvPicPr>
                  <pic:blipFill>
                    <a:blip r:embed="rId71"/>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4" name="图片 144" descr="李享：英雄土地 伟大人民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李享：英雄土地 伟大人民_页面_15"/>
                    <pic:cNvPicPr>
                      <a:picLocks noChangeAspect="1"/>
                    </pic:cNvPicPr>
                  </pic:nvPicPr>
                  <pic:blipFill>
                    <a:blip r:embed="rId72"/>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175"/>
            <wp:effectExtent l="0" t="0" r="11430" b="3175"/>
            <wp:docPr id="143" name="图片 143" descr="李享：英雄土地 伟大人民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李享：英雄土地 伟大人民_页面_16"/>
                    <pic:cNvPicPr>
                      <a:picLocks noChangeAspect="1"/>
                    </pic:cNvPicPr>
                  </pic:nvPicPr>
                  <pic:blipFill>
                    <a:blip r:embed="rId73"/>
                    <a:stretch>
                      <a:fillRect/>
                    </a:stretch>
                  </pic:blipFill>
                  <pic:spPr>
                    <a:xfrm>
                      <a:off x="0" y="0"/>
                      <a:ext cx="5760720" cy="432117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2" name="图片 142" descr="李享：英雄土地 伟大人民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李享：英雄土地 伟大人民_页面_17"/>
                    <pic:cNvPicPr>
                      <a:picLocks noChangeAspect="1"/>
                    </pic:cNvPicPr>
                  </pic:nvPicPr>
                  <pic:blipFill>
                    <a:blip r:embed="rId74"/>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1" name="图片 141" descr="李享：英雄土地 伟大人民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李享：英雄土地 伟大人民_页面_18"/>
                    <pic:cNvPicPr>
                      <a:picLocks noChangeAspect="1"/>
                    </pic:cNvPicPr>
                  </pic:nvPicPr>
                  <pic:blipFill>
                    <a:blip r:embed="rId75"/>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40" name="图片 140" descr="李享：英雄土地 伟大人民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李享：英雄土地 伟大人民_页面_19"/>
                    <pic:cNvPicPr>
                      <a:picLocks noChangeAspect="1"/>
                    </pic:cNvPicPr>
                  </pic:nvPicPr>
                  <pic:blipFill>
                    <a:blip r:embed="rId76"/>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9" name="图片 139" descr="李享：英雄土地 伟大人民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李享：英雄土地 伟大人民_页面_20"/>
                    <pic:cNvPicPr>
                      <a:picLocks noChangeAspect="1"/>
                    </pic:cNvPicPr>
                  </pic:nvPicPr>
                  <pic:blipFill>
                    <a:blip r:embed="rId77"/>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8" name="图片 138" descr="李享：英雄土地 伟大人民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李享：英雄土地 伟大人民_页面_21"/>
                    <pic:cNvPicPr>
                      <a:picLocks noChangeAspect="1"/>
                    </pic:cNvPicPr>
                  </pic:nvPicPr>
                  <pic:blipFill>
                    <a:blip r:embed="rId78"/>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7" name="图片 137" descr="李享：英雄土地 伟大人民_页面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李享：英雄土地 伟大人民_页面_22"/>
                    <pic:cNvPicPr>
                      <a:picLocks noChangeAspect="1"/>
                    </pic:cNvPicPr>
                  </pic:nvPicPr>
                  <pic:blipFill>
                    <a:blip r:embed="rId79"/>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6" name="图片 136" descr="李享：英雄土地 伟大人民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李享：英雄土地 伟大人民_页面_23"/>
                    <pic:cNvPicPr>
                      <a:picLocks noChangeAspect="1"/>
                    </pic:cNvPicPr>
                  </pic:nvPicPr>
                  <pic:blipFill>
                    <a:blip r:embed="rId80"/>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5" name="图片 135" descr="李享：英雄土地 伟大人民_页面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李享：英雄土地 伟大人民_页面_24"/>
                    <pic:cNvPicPr>
                      <a:picLocks noChangeAspect="1"/>
                    </pic:cNvPicPr>
                  </pic:nvPicPr>
                  <pic:blipFill>
                    <a:blip r:embed="rId81"/>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4" name="图片 134" descr="李享：英雄土地 伟大人民_页面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李享：英雄土地 伟大人民_页面_25"/>
                    <pic:cNvPicPr>
                      <a:picLocks noChangeAspect="1"/>
                    </pic:cNvPicPr>
                  </pic:nvPicPr>
                  <pic:blipFill>
                    <a:blip r:embed="rId82"/>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3" name="图片 133" descr="李享：英雄土地 伟大人民_页面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李享：英雄土地 伟大人民_页面_26"/>
                    <pic:cNvPicPr>
                      <a:picLocks noChangeAspect="1"/>
                    </pic:cNvPicPr>
                  </pic:nvPicPr>
                  <pic:blipFill>
                    <a:blip r:embed="rId83"/>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2" name="图片 132" descr="李享：英雄土地 伟大人民_页面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李享：英雄土地 伟大人民_页面_27"/>
                    <pic:cNvPicPr>
                      <a:picLocks noChangeAspect="1"/>
                    </pic:cNvPicPr>
                  </pic:nvPicPr>
                  <pic:blipFill>
                    <a:blip r:embed="rId84"/>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31" name="图片 131" descr="李享：英雄土地 伟大人民_页面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李享：英雄土地 伟大人民_页面_28"/>
                    <pic:cNvPicPr>
                      <a:picLocks noChangeAspect="1"/>
                    </pic:cNvPicPr>
                  </pic:nvPicPr>
                  <pic:blipFill>
                    <a:blip r:embed="rId85"/>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175"/>
            <wp:effectExtent l="0" t="0" r="11430" b="3175"/>
            <wp:docPr id="130" name="图片 130" descr="李享：英雄土地 伟大人民_页面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李享：英雄土地 伟大人民_页面_29"/>
                    <pic:cNvPicPr>
                      <a:picLocks noChangeAspect="1"/>
                    </pic:cNvPicPr>
                  </pic:nvPicPr>
                  <pic:blipFill>
                    <a:blip r:embed="rId86"/>
                    <a:stretch>
                      <a:fillRect/>
                    </a:stretch>
                  </pic:blipFill>
                  <pic:spPr>
                    <a:xfrm>
                      <a:off x="0" y="0"/>
                      <a:ext cx="5760720" cy="432117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0540"/>
            <wp:effectExtent l="0" t="0" r="11430" b="3810"/>
            <wp:docPr id="129" name="图片 129" descr="李享：英雄土地 伟大人民_页面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李享：英雄土地 伟大人民_页面_30"/>
                    <pic:cNvPicPr>
                      <a:picLocks noChangeAspect="1"/>
                    </pic:cNvPicPr>
                  </pic:nvPicPr>
                  <pic:blipFill>
                    <a:blip r:embed="rId87"/>
                    <a:stretch>
                      <a:fillRect/>
                    </a:stretch>
                  </pic:blipFill>
                  <pic:spPr>
                    <a:xfrm>
                      <a:off x="0" y="0"/>
                      <a:ext cx="5760720" cy="432054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28" name="图片 128" descr="李享：英雄土地 伟大人民_页面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李享：英雄土地 伟大人民_页面_31"/>
                    <pic:cNvPicPr>
                      <a:picLocks noChangeAspect="1"/>
                    </pic:cNvPicPr>
                  </pic:nvPicPr>
                  <pic:blipFill>
                    <a:blip r:embed="rId88"/>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175"/>
            <wp:effectExtent l="0" t="0" r="11430" b="3175"/>
            <wp:docPr id="127" name="图片 127" descr="李享：英雄土地 伟大人民_页面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李享：英雄土地 伟大人民_页面_32"/>
                    <pic:cNvPicPr>
                      <a:picLocks noChangeAspect="1"/>
                    </pic:cNvPicPr>
                  </pic:nvPicPr>
                  <pic:blipFill>
                    <a:blip r:embed="rId89"/>
                    <a:stretch>
                      <a:fillRect/>
                    </a:stretch>
                  </pic:blipFill>
                  <pic:spPr>
                    <a:xfrm>
                      <a:off x="0" y="0"/>
                      <a:ext cx="5760720" cy="4321175"/>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26" name="图片 126" descr="李享：英雄土地 伟大人民_页面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李享：英雄土地 伟大人民_页面_33"/>
                    <pic:cNvPicPr>
                      <a:picLocks noChangeAspect="1"/>
                    </pic:cNvPicPr>
                  </pic:nvPicPr>
                  <pic:blipFill>
                    <a:blip r:embed="rId90"/>
                    <a:stretch>
                      <a:fillRect/>
                    </a:stretch>
                  </pic:blipFill>
                  <pic:spPr>
                    <a:xfrm>
                      <a:off x="0" y="0"/>
                      <a:ext cx="5760720" cy="4321810"/>
                    </a:xfrm>
                    <a:prstGeom prst="rect">
                      <a:avLst/>
                    </a:prstGeom>
                  </pic:spPr>
                </pic:pic>
              </a:graphicData>
            </a:graphic>
          </wp:inline>
        </w:drawing>
      </w:r>
      <w:r>
        <w:rPr>
          <w:rFonts w:hint="eastAsia" w:ascii="仿宋_GB2312" w:hAnsi="仿宋_GB2312" w:eastAsia="仿宋_GB2312" w:cs="仿宋_GB2312"/>
          <w:sz w:val="32"/>
          <w:szCs w:val="32"/>
          <w:lang w:eastAsia="zh-CN"/>
        </w:rPr>
        <w:drawing>
          <wp:inline distT="0" distB="0" distL="114300" distR="114300">
            <wp:extent cx="5760720" cy="4321810"/>
            <wp:effectExtent l="0" t="0" r="11430" b="2540"/>
            <wp:docPr id="125" name="图片 125" descr="李享：英雄土地 伟大人民_页面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李享：英雄土地 伟大人民_页面_34"/>
                    <pic:cNvPicPr>
                      <a:picLocks noChangeAspect="1"/>
                    </pic:cNvPicPr>
                  </pic:nvPicPr>
                  <pic:blipFill>
                    <a:blip r:embed="rId91"/>
                    <a:stretch>
                      <a:fillRect/>
                    </a:stretch>
                  </pic:blipFill>
                  <pic:spPr>
                    <a:xfrm>
                      <a:off x="0" y="0"/>
                      <a:ext cx="5760720" cy="4321810"/>
                    </a:xfrm>
                    <a:prstGeom prst="rect">
                      <a:avLst/>
                    </a:prstGeom>
                  </pic:spPr>
                </pic:pic>
              </a:graphicData>
            </a:graphic>
          </wp:inline>
        </w:drawing>
      </w:r>
    </w:p>
    <w:sectPr>
      <w:pgSz w:w="11906" w:h="16838"/>
      <w:pgMar w:top="1417" w:right="1417"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iQuk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iQukVAgAAF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33F8F9"/>
    <w:multiLevelType w:val="singleLevel"/>
    <w:tmpl w:val="C833F8F9"/>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B463C4"/>
    <w:rsid w:val="0AB463C4"/>
    <w:rsid w:val="0F4465A0"/>
    <w:rsid w:val="266B4CB7"/>
    <w:rsid w:val="2CAE3618"/>
    <w:rsid w:val="52683936"/>
    <w:rsid w:val="6607624E"/>
    <w:rsid w:val="7F484838"/>
    <w:rsid w:val="7F5B4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qFormat/>
    <w:uiPriority w:val="99"/>
    <w:rPr>
      <w:rFonts w:cs="Times New Roman"/>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2019-10-22T02:48:00Z</dcterms:created>
  <dc:creator>Administrator</dc:creator>
  <cp:lastModifiedBy>Administrator</cp:lastModifiedBy>
  <cp:lastPrinted>2019-10-28T07:31:06Z</cp:lastPrinted>
  <dcterms:modified xsi:type="dcterms:W3CDTF">2019-10-28T07:36:46Z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